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6B89F" w14:textId="77777777" w:rsidR="001364E2" w:rsidRDefault="001364E2" w:rsidP="001364E2">
      <w:pPr>
        <w:rPr>
          <w:rFonts w:eastAsia="Times New Roman" w:cs="Times New Roman"/>
          <w:szCs w:val="20"/>
          <w:lang w:eastAsia="tr-TR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866"/>
        <w:gridCol w:w="7204"/>
      </w:tblGrid>
      <w:tr w:rsidR="00B31B9B" w:rsidRPr="00740047" w14:paraId="7DC07405" w14:textId="77777777" w:rsidTr="00740047">
        <w:trPr>
          <w:cantSplit/>
          <w:trHeight w:val="142"/>
        </w:trPr>
        <w:tc>
          <w:tcPr>
            <w:tcW w:w="1866" w:type="dxa"/>
            <w:vMerge w:val="restart"/>
            <w:hideMark/>
          </w:tcPr>
          <w:p w14:paraId="2FE5653C" w14:textId="77777777" w:rsidR="00B31B9B" w:rsidRPr="00740047" w:rsidRDefault="00B31B9B" w:rsidP="009471D5">
            <w:pPr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  <w:r w:rsidRPr="00740047">
              <w:rPr>
                <w:rFonts w:ascii="Cambria" w:eastAsia="Times New Roman" w:hAnsi="Cambria"/>
                <w:noProof/>
                <w:szCs w:val="20"/>
                <w:lang w:eastAsia="tr-TR"/>
              </w:rPr>
              <w:drawing>
                <wp:inline distT="0" distB="0" distL="0" distR="0" wp14:anchorId="6A8A4108" wp14:editId="54EDB44F">
                  <wp:extent cx="1045845" cy="607695"/>
                  <wp:effectExtent l="0" t="0" r="1905" b="1905"/>
                  <wp:docPr id="1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4" w:type="dxa"/>
            <w:hideMark/>
          </w:tcPr>
          <w:p w14:paraId="0E696E7D" w14:textId="77777777" w:rsidR="00B31B9B" w:rsidRPr="00740047" w:rsidRDefault="00B31B9B" w:rsidP="009471D5">
            <w:pPr>
              <w:jc w:val="right"/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  <w:r w:rsidRPr="00740047">
              <w:rPr>
                <w:rFonts w:ascii="Cambria" w:eastAsia="Times New Roman" w:hAnsi="Cambria"/>
                <w:noProof/>
                <w:szCs w:val="20"/>
                <w:lang w:eastAsia="tr-TR"/>
              </w:rPr>
              <w:t>Sayfa 1/</w:t>
            </w:r>
            <w:r w:rsidR="007753DA" w:rsidRPr="00740047">
              <w:rPr>
                <w:rFonts w:ascii="Cambria" w:eastAsia="Times New Roman" w:hAnsi="Cambria"/>
                <w:noProof/>
                <w:szCs w:val="20"/>
                <w:lang w:eastAsia="tr-TR"/>
              </w:rPr>
              <w:t>2</w:t>
            </w:r>
          </w:p>
        </w:tc>
      </w:tr>
      <w:tr w:rsidR="00B31B9B" w:rsidRPr="00740047" w14:paraId="43C7F18F" w14:textId="77777777" w:rsidTr="00740047">
        <w:trPr>
          <w:cantSplit/>
          <w:trHeight w:val="479"/>
        </w:trPr>
        <w:tc>
          <w:tcPr>
            <w:tcW w:w="0" w:type="auto"/>
            <w:vMerge/>
            <w:vAlign w:val="center"/>
            <w:hideMark/>
          </w:tcPr>
          <w:p w14:paraId="5B2FD003" w14:textId="77777777" w:rsidR="00B31B9B" w:rsidRPr="00740047" w:rsidRDefault="00B31B9B" w:rsidP="009471D5">
            <w:pPr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</w:p>
        </w:tc>
        <w:tc>
          <w:tcPr>
            <w:tcW w:w="7204" w:type="dxa"/>
            <w:hideMark/>
          </w:tcPr>
          <w:p w14:paraId="544BE804" w14:textId="77777777" w:rsidR="00B31B9B" w:rsidRPr="00740047" w:rsidRDefault="00B31B9B" w:rsidP="009471D5">
            <w:pPr>
              <w:pStyle w:val="Balk1"/>
              <w:jc w:val="left"/>
              <w:rPr>
                <w:rFonts w:ascii="Cambria" w:hAnsi="Cambria"/>
                <w:b/>
                <w:color w:val="auto"/>
                <w:sz w:val="24"/>
              </w:rPr>
            </w:pPr>
            <w:bookmarkStart w:id="1" w:name="_Toc56407686"/>
            <w:r w:rsidRPr="00740047">
              <w:rPr>
                <w:rFonts w:ascii="Cambria" w:hAnsi="Cambria"/>
                <w:b/>
                <w:color w:val="auto"/>
                <w:sz w:val="24"/>
              </w:rPr>
              <w:t>TÜRK STANDARDI</w:t>
            </w:r>
            <w:bookmarkEnd w:id="1"/>
          </w:p>
          <w:p w14:paraId="7F10D4FD" w14:textId="77777777" w:rsidR="00B31B9B" w:rsidRPr="00740047" w:rsidRDefault="00B31B9B" w:rsidP="009471D5">
            <w:pPr>
              <w:rPr>
                <w:rFonts w:ascii="Cambria" w:eastAsia="SimSun" w:hAnsi="Cambria"/>
                <w:b/>
                <w:noProof/>
                <w:sz w:val="24"/>
                <w:szCs w:val="24"/>
                <w:lang w:val="en-US"/>
              </w:rPr>
            </w:pPr>
            <w:r w:rsidRPr="00740047">
              <w:rPr>
                <w:rFonts w:ascii="Cambria" w:hAnsi="Cambria"/>
                <w:i/>
                <w:iCs/>
              </w:rPr>
              <w:t>TURKISH STANDARD</w:t>
            </w:r>
            <w:r w:rsidRPr="00740047">
              <w:rPr>
                <w:rFonts w:ascii="Cambria" w:hAnsi="Cambria"/>
              </w:rPr>
              <w:t xml:space="preserve"> </w:t>
            </w:r>
            <w:r w:rsidRPr="00740047">
              <w:rPr>
                <w:rFonts w:ascii="Cambria" w:eastAsia="SimSun" w:hAnsi="Cambria"/>
              </w:rPr>
              <w:t xml:space="preserve"> </w:t>
            </w:r>
          </w:p>
        </w:tc>
      </w:tr>
      <w:tr w:rsidR="00B31B9B" w:rsidRPr="00740047" w14:paraId="7EFF5D62" w14:textId="77777777" w:rsidTr="00740047">
        <w:trPr>
          <w:cantSplit/>
          <w:trHeight w:val="242"/>
        </w:trPr>
        <w:tc>
          <w:tcPr>
            <w:tcW w:w="0" w:type="auto"/>
            <w:vMerge/>
            <w:vAlign w:val="center"/>
            <w:hideMark/>
          </w:tcPr>
          <w:p w14:paraId="688ADA55" w14:textId="77777777" w:rsidR="00B31B9B" w:rsidRPr="00740047" w:rsidRDefault="00B31B9B" w:rsidP="009471D5">
            <w:pPr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</w:p>
        </w:tc>
        <w:tc>
          <w:tcPr>
            <w:tcW w:w="7204" w:type="dxa"/>
          </w:tcPr>
          <w:p w14:paraId="31E6D17C" w14:textId="77777777" w:rsidR="00B31B9B" w:rsidRPr="00740047" w:rsidRDefault="00B31B9B" w:rsidP="009471D5">
            <w:pPr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</w:p>
        </w:tc>
      </w:tr>
    </w:tbl>
    <w:p w14:paraId="25AE628D" w14:textId="77777777" w:rsidR="00740047" w:rsidRDefault="00740047"/>
    <w:tbl>
      <w:tblPr>
        <w:tblW w:w="3688" w:type="dxa"/>
        <w:tblInd w:w="5384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8"/>
      </w:tblGrid>
      <w:tr w:rsidR="00740047" w:rsidRPr="00740047" w14:paraId="730862D4" w14:textId="77777777" w:rsidTr="00740047">
        <w:trPr>
          <w:cantSplit/>
          <w:trHeight w:val="281"/>
        </w:trPr>
        <w:tc>
          <w:tcPr>
            <w:tcW w:w="3688" w:type="dxa"/>
            <w:tcBorders>
              <w:bottom w:val="nil"/>
            </w:tcBorders>
          </w:tcPr>
          <w:p w14:paraId="2E078F12" w14:textId="77777777" w:rsidR="00740047" w:rsidRPr="00740047" w:rsidRDefault="00740047" w:rsidP="00236A82">
            <w:pPr>
              <w:rPr>
                <w:rFonts w:ascii="Cambria" w:eastAsia="Times New Roman" w:hAnsi="Cambria"/>
                <w:b/>
                <w:sz w:val="32"/>
                <w:szCs w:val="32"/>
              </w:rPr>
            </w:pPr>
            <w:r w:rsidRPr="00740047">
              <w:rPr>
                <w:rFonts w:ascii="Cambria" w:eastAsia="Times New Roman" w:hAnsi="Cambria"/>
                <w:b/>
                <w:sz w:val="32"/>
                <w:szCs w:val="32"/>
              </w:rPr>
              <w:t>TS 310: 2016</w:t>
            </w:r>
          </w:p>
        </w:tc>
      </w:tr>
      <w:tr w:rsidR="00740047" w:rsidRPr="00740047" w14:paraId="3D1E94C4" w14:textId="77777777" w:rsidTr="00740047">
        <w:trPr>
          <w:cantSplit/>
          <w:trHeight w:val="281"/>
        </w:trPr>
        <w:tc>
          <w:tcPr>
            <w:tcW w:w="3688" w:type="dxa"/>
            <w:tcBorders>
              <w:top w:val="nil"/>
              <w:bottom w:val="nil"/>
            </w:tcBorders>
          </w:tcPr>
          <w:p w14:paraId="23C44F2F" w14:textId="77777777" w:rsidR="00740047" w:rsidRPr="00740047" w:rsidRDefault="00740047" w:rsidP="00236A82">
            <w:pPr>
              <w:rPr>
                <w:rFonts w:ascii="Cambria" w:eastAsia="Times New Roman" w:hAnsi="Cambria"/>
                <w:b/>
                <w:sz w:val="32"/>
                <w:szCs w:val="32"/>
              </w:rPr>
            </w:pPr>
            <w:r w:rsidRPr="00740047">
              <w:rPr>
                <w:rFonts w:ascii="Cambria" w:eastAsia="Times New Roman" w:hAnsi="Cambria"/>
                <w:b/>
                <w:sz w:val="32"/>
                <w:szCs w:val="32"/>
              </w:rPr>
              <w:t xml:space="preserve">tst T1: </w:t>
            </w:r>
          </w:p>
        </w:tc>
      </w:tr>
    </w:tbl>
    <w:p w14:paraId="593E031C" w14:textId="77777777" w:rsidR="003A7757" w:rsidRPr="00740047" w:rsidRDefault="003A7757" w:rsidP="00B31B9B">
      <w:pPr>
        <w:ind w:firstLine="708"/>
        <w:rPr>
          <w:rFonts w:ascii="Cambria" w:eastAsia="Times New Roman" w:hAnsi="Cambria" w:cs="Times New Roman"/>
          <w:szCs w:val="20"/>
          <w:lang w:eastAsia="tr-TR"/>
        </w:rPr>
      </w:pPr>
    </w:p>
    <w:p w14:paraId="3B0A3631" w14:textId="77777777" w:rsidR="00B31B9B" w:rsidRPr="00740047" w:rsidRDefault="00B31B9B" w:rsidP="00B31B9B">
      <w:pPr>
        <w:rPr>
          <w:rFonts w:ascii="Cambria" w:eastAsia="Times New Roman" w:hAnsi="Cambria"/>
          <w:szCs w:val="24"/>
        </w:rPr>
      </w:pPr>
    </w:p>
    <w:p w14:paraId="11CDDAA8" w14:textId="77777777" w:rsidR="00B31B9B" w:rsidRPr="00740047" w:rsidRDefault="00B31B9B" w:rsidP="00B31B9B">
      <w:pPr>
        <w:pBdr>
          <w:bottom w:val="single" w:sz="4" w:space="0" w:color="auto"/>
        </w:pBdr>
        <w:spacing w:after="120"/>
        <w:rPr>
          <w:rFonts w:ascii="Cambria" w:eastAsia="Times New Roman" w:hAnsi="Cambria"/>
          <w:sz w:val="24"/>
          <w:szCs w:val="24"/>
        </w:rPr>
      </w:pPr>
      <w:r w:rsidRPr="00740047">
        <w:rPr>
          <w:rFonts w:ascii="Cambria" w:eastAsia="Times New Roman" w:hAnsi="Cambria"/>
          <w:b/>
          <w:sz w:val="24"/>
          <w:szCs w:val="24"/>
        </w:rPr>
        <w:t>ICS</w:t>
      </w:r>
      <w:r w:rsidRPr="00740047">
        <w:rPr>
          <w:rFonts w:ascii="Cambria" w:eastAsia="Times New Roman" w:hAnsi="Cambria"/>
          <w:sz w:val="24"/>
          <w:szCs w:val="24"/>
        </w:rPr>
        <w:t xml:space="preserve"> 67.0</w:t>
      </w:r>
      <w:r w:rsidR="007A4A59" w:rsidRPr="00740047">
        <w:rPr>
          <w:rFonts w:ascii="Cambria" w:eastAsia="Times New Roman" w:hAnsi="Cambria"/>
          <w:sz w:val="24"/>
          <w:szCs w:val="24"/>
        </w:rPr>
        <w:t>8</w:t>
      </w:r>
      <w:r w:rsidRPr="00740047">
        <w:rPr>
          <w:rFonts w:ascii="Cambria" w:eastAsia="Times New Roman" w:hAnsi="Cambria"/>
          <w:sz w:val="24"/>
          <w:szCs w:val="24"/>
        </w:rPr>
        <w:t>0</w:t>
      </w:r>
      <w:r w:rsidR="007A4A59" w:rsidRPr="00740047">
        <w:rPr>
          <w:rFonts w:ascii="Cambria" w:eastAsia="Times New Roman" w:hAnsi="Cambria"/>
          <w:sz w:val="24"/>
          <w:szCs w:val="24"/>
        </w:rPr>
        <w:t>.10</w:t>
      </w:r>
    </w:p>
    <w:p w14:paraId="214A253E" w14:textId="77777777" w:rsidR="00B31B9B" w:rsidRPr="00740047" w:rsidRDefault="00B31B9B" w:rsidP="00B31B9B">
      <w:pPr>
        <w:rPr>
          <w:rFonts w:ascii="Cambria" w:eastAsia="Times New Roman" w:hAnsi="Cambria"/>
          <w:szCs w:val="24"/>
        </w:rPr>
      </w:pPr>
    </w:p>
    <w:p w14:paraId="34837691" w14:textId="77777777" w:rsidR="00B31B9B" w:rsidRPr="00740047" w:rsidRDefault="00B31B9B" w:rsidP="00B31B9B">
      <w:pPr>
        <w:rPr>
          <w:rFonts w:ascii="Cambria" w:eastAsia="Times New Roman" w:hAnsi="Cambria"/>
          <w:szCs w:val="24"/>
        </w:rPr>
      </w:pPr>
      <w:r w:rsidRPr="00740047">
        <w:rPr>
          <w:rFonts w:ascii="Cambria" w:eastAsia="Times New Roman" w:hAnsi="Cambria"/>
          <w:szCs w:val="24"/>
        </w:rPr>
        <w:t>Bu tadil, Türk Standardları Enstitüsü Gıda, Tarım ve Hayvancılık İhtisas Kurulu’na bağlı TK</w:t>
      </w:r>
      <w:r w:rsidR="001359C5" w:rsidRPr="00740047">
        <w:rPr>
          <w:rFonts w:ascii="Cambria" w:eastAsia="Times New Roman" w:hAnsi="Cambria"/>
          <w:szCs w:val="24"/>
        </w:rPr>
        <w:t>15</w:t>
      </w:r>
      <w:r w:rsidRPr="00740047">
        <w:rPr>
          <w:rFonts w:ascii="Cambria" w:eastAsia="Times New Roman" w:hAnsi="Cambria"/>
          <w:szCs w:val="24"/>
        </w:rPr>
        <w:t xml:space="preserve"> Gıda</w:t>
      </w:r>
      <w:r w:rsidR="001359C5" w:rsidRPr="00740047">
        <w:rPr>
          <w:rFonts w:ascii="Cambria" w:eastAsia="Times New Roman" w:hAnsi="Cambria"/>
          <w:szCs w:val="24"/>
        </w:rPr>
        <w:t xml:space="preserve"> ve Ziraat</w:t>
      </w:r>
      <w:r w:rsidRPr="00740047">
        <w:rPr>
          <w:rFonts w:ascii="Cambria" w:eastAsia="Times New Roman" w:hAnsi="Cambria"/>
          <w:szCs w:val="24"/>
        </w:rPr>
        <w:t xml:space="preserve"> Teknik Komitesi’nce hazırlanmış ve TSE Teknik Kurulu’nun </w:t>
      </w:r>
      <w:r w:rsidR="00CF057C" w:rsidRPr="00740047">
        <w:rPr>
          <w:rFonts w:ascii="Cambria" w:eastAsia="Times New Roman" w:hAnsi="Cambria"/>
          <w:szCs w:val="24"/>
        </w:rPr>
        <w:t>...</w:t>
      </w:r>
      <w:r w:rsidR="006B235D" w:rsidRPr="00740047">
        <w:rPr>
          <w:rFonts w:ascii="Cambria" w:eastAsia="Times New Roman" w:hAnsi="Cambria"/>
          <w:szCs w:val="24"/>
        </w:rPr>
        <w:t>.</w:t>
      </w:r>
      <w:r w:rsidR="00DB5089" w:rsidRPr="00740047">
        <w:rPr>
          <w:rFonts w:ascii="Cambria" w:eastAsia="Times New Roman" w:hAnsi="Cambria"/>
          <w:szCs w:val="24"/>
        </w:rPr>
        <w:t>.......</w:t>
      </w:r>
      <w:r w:rsidRPr="00740047">
        <w:rPr>
          <w:rFonts w:ascii="Cambria" w:eastAsia="Times New Roman" w:hAnsi="Cambria"/>
          <w:szCs w:val="24"/>
        </w:rPr>
        <w:t>tarihli toplantısında kabul</w:t>
      </w:r>
      <w:r w:rsidRPr="00740047">
        <w:rPr>
          <w:rFonts w:ascii="Cambria" w:hAnsi="Cambria"/>
        </w:rPr>
        <w:t xml:space="preserve"> </w:t>
      </w:r>
      <w:r w:rsidRPr="00740047">
        <w:rPr>
          <w:rFonts w:ascii="Cambria" w:eastAsia="Times New Roman" w:hAnsi="Cambria"/>
          <w:szCs w:val="24"/>
        </w:rPr>
        <w:t>edil</w:t>
      </w:r>
      <w:r w:rsidR="00701C51" w:rsidRPr="00740047">
        <w:rPr>
          <w:rFonts w:ascii="Cambria" w:eastAsia="Times New Roman" w:hAnsi="Cambria"/>
          <w:szCs w:val="24"/>
        </w:rPr>
        <w:t>erek yayımına karar verilmiştir</w:t>
      </w:r>
      <w:r w:rsidR="00740047">
        <w:rPr>
          <w:rFonts w:ascii="Cambria" w:eastAsia="Times New Roman" w:hAnsi="Cambria"/>
          <w:szCs w:val="24"/>
        </w:rPr>
        <w:t>.</w:t>
      </w:r>
    </w:p>
    <w:p w14:paraId="3268779C" w14:textId="77777777" w:rsidR="00B31B9B" w:rsidRPr="00740047" w:rsidRDefault="00B31B9B" w:rsidP="00B31B9B">
      <w:pPr>
        <w:rPr>
          <w:rFonts w:ascii="Cambria" w:eastAsia="Times New Roman" w:hAnsi="Cambria"/>
          <w:szCs w:val="24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B31B9B" w:rsidRPr="00740047" w14:paraId="55920B14" w14:textId="77777777" w:rsidTr="00740047">
        <w:tc>
          <w:tcPr>
            <w:tcW w:w="9072" w:type="dxa"/>
          </w:tcPr>
          <w:p w14:paraId="6CC17AD4" w14:textId="77777777" w:rsidR="00B31B9B" w:rsidRPr="00740047" w:rsidRDefault="00B31B9B" w:rsidP="007A4A59">
            <w:pPr>
              <w:spacing w:after="120"/>
              <w:jc w:val="center"/>
              <w:rPr>
                <w:rFonts w:ascii="Cambria" w:eastAsia="Times New Roman" w:hAnsi="Cambria"/>
                <w:b/>
                <w:sz w:val="28"/>
                <w:szCs w:val="24"/>
              </w:rPr>
            </w:pPr>
            <w:r w:rsidRPr="00740047">
              <w:rPr>
                <w:rFonts w:ascii="Cambria" w:hAnsi="Cambria"/>
              </w:rPr>
              <w:t xml:space="preserve"> </w:t>
            </w:r>
            <w:r w:rsidR="007A4A59" w:rsidRPr="00740047">
              <w:rPr>
                <w:rFonts w:ascii="Cambria" w:eastAsia="Times New Roman" w:hAnsi="Cambria"/>
                <w:b/>
                <w:bCs/>
                <w:sz w:val="28"/>
                <w:szCs w:val="24"/>
              </w:rPr>
              <w:t>Yerfıstığı (Kabuklu ve iç)</w:t>
            </w:r>
          </w:p>
        </w:tc>
      </w:tr>
      <w:tr w:rsidR="00B31B9B" w:rsidRPr="00740047" w14:paraId="02E8FD6E" w14:textId="77777777" w:rsidTr="00740047">
        <w:tc>
          <w:tcPr>
            <w:tcW w:w="9072" w:type="dxa"/>
          </w:tcPr>
          <w:p w14:paraId="5EBFE60A" w14:textId="77777777" w:rsidR="00B31B9B" w:rsidRPr="00740047" w:rsidRDefault="00B31B9B" w:rsidP="009471D5">
            <w:pPr>
              <w:rPr>
                <w:rFonts w:ascii="Cambria" w:eastAsia="Times New Roman" w:hAnsi="Cambria"/>
                <w:szCs w:val="24"/>
              </w:rPr>
            </w:pPr>
          </w:p>
        </w:tc>
      </w:tr>
      <w:tr w:rsidR="00B31B9B" w:rsidRPr="00740047" w14:paraId="5874D1D8" w14:textId="77777777" w:rsidTr="00740047">
        <w:tc>
          <w:tcPr>
            <w:tcW w:w="9072" w:type="dxa"/>
          </w:tcPr>
          <w:p w14:paraId="3F4F18BD" w14:textId="77777777" w:rsidR="00B31B9B" w:rsidRPr="00740047" w:rsidRDefault="007A4A59" w:rsidP="007A4A59">
            <w:pPr>
              <w:jc w:val="center"/>
              <w:rPr>
                <w:rFonts w:ascii="Cambria" w:eastAsia="Times New Roman" w:hAnsi="Cambria"/>
                <w:sz w:val="28"/>
                <w:szCs w:val="24"/>
              </w:rPr>
            </w:pPr>
            <w:r w:rsidRPr="00740047">
              <w:rPr>
                <w:rFonts w:ascii="Cambria" w:eastAsia="Times New Roman" w:hAnsi="Cambria"/>
                <w:bCs/>
                <w:sz w:val="28"/>
                <w:szCs w:val="24"/>
              </w:rPr>
              <w:t>Ground nuts (peanuts)</w:t>
            </w:r>
          </w:p>
        </w:tc>
      </w:tr>
    </w:tbl>
    <w:p w14:paraId="14A32B61" w14:textId="77777777" w:rsidR="00B31B9B" w:rsidRPr="00740047" w:rsidRDefault="00B31B9B" w:rsidP="00B31B9B">
      <w:pPr>
        <w:rPr>
          <w:rFonts w:ascii="Cambria" w:eastAsia="Times New Roman" w:hAnsi="Cambria"/>
          <w:szCs w:val="24"/>
        </w:rPr>
      </w:pPr>
    </w:p>
    <w:p w14:paraId="52C3EEE5" w14:textId="77777777" w:rsidR="003A7757" w:rsidRPr="00740047" w:rsidRDefault="003A7757" w:rsidP="003A7757">
      <w:pPr>
        <w:rPr>
          <w:rFonts w:ascii="Cambria" w:eastAsia="Times New Roman" w:hAnsi="Cambria" w:cs="Times New Roman"/>
          <w:szCs w:val="20"/>
          <w:lang w:eastAsia="tr-TR"/>
        </w:rPr>
      </w:pPr>
    </w:p>
    <w:p w14:paraId="41B0AC0C" w14:textId="77777777" w:rsidR="000D4BA5" w:rsidRPr="00740047" w:rsidRDefault="000D4BA5" w:rsidP="003A7757">
      <w:pPr>
        <w:rPr>
          <w:rFonts w:ascii="Cambria" w:eastAsia="Times New Roman" w:hAnsi="Cambria" w:cs="Times New Roman"/>
          <w:szCs w:val="20"/>
          <w:lang w:eastAsia="tr-TR"/>
        </w:rPr>
      </w:pPr>
    </w:p>
    <w:p w14:paraId="31C50E92" w14:textId="77777777" w:rsidR="000D4BA5" w:rsidRPr="00740047" w:rsidRDefault="000D4BA5" w:rsidP="000D4BA5">
      <w:pPr>
        <w:rPr>
          <w:rFonts w:ascii="Cambria" w:eastAsia="SimSun" w:hAnsi="Cambria"/>
        </w:rPr>
      </w:pPr>
    </w:p>
    <w:p w14:paraId="6FCCB214" w14:textId="77777777" w:rsidR="000D4BA5" w:rsidRPr="00740047" w:rsidRDefault="000D4BA5" w:rsidP="000D4BA5">
      <w:pPr>
        <w:pStyle w:val="ListeParagraf"/>
        <w:numPr>
          <w:ilvl w:val="0"/>
          <w:numId w:val="4"/>
        </w:numPr>
        <w:rPr>
          <w:rFonts w:ascii="Cambria" w:eastAsia="SimSun" w:hAnsi="Cambria"/>
        </w:rPr>
      </w:pPr>
      <w:r w:rsidRPr="00740047">
        <w:rPr>
          <w:rFonts w:ascii="Cambria" w:eastAsia="SimSun" w:hAnsi="Cambria"/>
        </w:rPr>
        <w:t>Atıf yapılan standard ve/veya dökümanlar kısmından aşağıdaki standard çıkartılmıştır.</w:t>
      </w:r>
    </w:p>
    <w:p w14:paraId="1AD8AE91" w14:textId="77777777" w:rsidR="000D4BA5" w:rsidRPr="00740047" w:rsidRDefault="000D4BA5" w:rsidP="000D4BA5">
      <w:pPr>
        <w:rPr>
          <w:rFonts w:ascii="Cambria" w:eastAsia="SimSun" w:hAnsi="Cambr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261"/>
        <w:gridCol w:w="3536"/>
      </w:tblGrid>
      <w:tr w:rsidR="000D4BA5" w:rsidRPr="00740047" w14:paraId="286B770A" w14:textId="77777777" w:rsidTr="000D4BA5">
        <w:tc>
          <w:tcPr>
            <w:tcW w:w="2155" w:type="dxa"/>
          </w:tcPr>
          <w:p w14:paraId="05ADA98D" w14:textId="77777777" w:rsidR="000D4BA5" w:rsidRPr="00740047" w:rsidRDefault="000D4BA5" w:rsidP="000B3E74">
            <w:pPr>
              <w:jc w:val="center"/>
              <w:rPr>
                <w:rFonts w:ascii="Cambria" w:hAnsi="Cambria"/>
                <w:b/>
              </w:rPr>
            </w:pPr>
            <w:r w:rsidRPr="00740047">
              <w:rPr>
                <w:rFonts w:ascii="Cambria" w:hAnsi="Cambria"/>
                <w:b/>
              </w:rPr>
              <w:t>TS No</w:t>
            </w:r>
          </w:p>
        </w:tc>
        <w:tc>
          <w:tcPr>
            <w:tcW w:w="3261" w:type="dxa"/>
          </w:tcPr>
          <w:p w14:paraId="724E3487" w14:textId="77777777" w:rsidR="000D4BA5" w:rsidRPr="00740047" w:rsidRDefault="000D4BA5" w:rsidP="000B3E74">
            <w:pPr>
              <w:jc w:val="center"/>
              <w:rPr>
                <w:rFonts w:ascii="Cambria" w:hAnsi="Cambria"/>
                <w:b/>
              </w:rPr>
            </w:pPr>
            <w:r w:rsidRPr="00740047">
              <w:rPr>
                <w:rFonts w:ascii="Cambria" w:hAnsi="Cambria"/>
                <w:b/>
              </w:rPr>
              <w:t>Türkçe adı</w:t>
            </w:r>
          </w:p>
        </w:tc>
        <w:tc>
          <w:tcPr>
            <w:tcW w:w="3536" w:type="dxa"/>
          </w:tcPr>
          <w:p w14:paraId="3D4202A0" w14:textId="77777777" w:rsidR="000D4BA5" w:rsidRPr="00740047" w:rsidRDefault="000D4BA5" w:rsidP="000B3E74">
            <w:pPr>
              <w:jc w:val="center"/>
              <w:rPr>
                <w:rFonts w:ascii="Cambria" w:hAnsi="Cambria"/>
                <w:b/>
              </w:rPr>
            </w:pPr>
            <w:r w:rsidRPr="00740047">
              <w:rPr>
                <w:rFonts w:ascii="Cambria" w:hAnsi="Cambria"/>
                <w:b/>
              </w:rPr>
              <w:t>İngilizce adı</w:t>
            </w:r>
          </w:p>
        </w:tc>
      </w:tr>
      <w:tr w:rsidR="000D4BA5" w:rsidRPr="00740047" w14:paraId="5C602770" w14:textId="77777777" w:rsidTr="000D4BA5">
        <w:tc>
          <w:tcPr>
            <w:tcW w:w="2155" w:type="dxa"/>
          </w:tcPr>
          <w:p w14:paraId="3DC275FA" w14:textId="77777777" w:rsidR="000D4BA5" w:rsidRPr="00740047" w:rsidRDefault="000D4BA5" w:rsidP="000D4BA5">
            <w:pPr>
              <w:pStyle w:val="stBilgi"/>
              <w:tabs>
                <w:tab w:val="clear" w:pos="4536"/>
                <w:tab w:val="clear" w:pos="9072"/>
              </w:tabs>
              <w:rPr>
                <w:rFonts w:ascii="Cambria" w:hAnsi="Cambria"/>
                <w:bCs/>
              </w:rPr>
            </w:pPr>
            <w:r w:rsidRPr="00740047">
              <w:rPr>
                <w:rFonts w:ascii="Cambria" w:hAnsi="Cambria"/>
                <w:bCs/>
              </w:rPr>
              <w:t xml:space="preserve">TS 1630 EN ISO 542 </w:t>
            </w:r>
          </w:p>
        </w:tc>
        <w:tc>
          <w:tcPr>
            <w:tcW w:w="3261" w:type="dxa"/>
          </w:tcPr>
          <w:p w14:paraId="6834CC43" w14:textId="77777777" w:rsidR="000D4BA5" w:rsidRPr="00740047" w:rsidRDefault="000D4BA5" w:rsidP="000D4BA5">
            <w:pPr>
              <w:pStyle w:val="stBilgi"/>
              <w:tabs>
                <w:tab w:val="left" w:pos="3240"/>
              </w:tabs>
              <w:ind w:right="-39"/>
              <w:rPr>
                <w:rFonts w:ascii="Cambria" w:hAnsi="Cambria"/>
              </w:rPr>
            </w:pPr>
            <w:r w:rsidRPr="00740047">
              <w:rPr>
                <w:rFonts w:ascii="Cambria" w:hAnsi="Cambria"/>
              </w:rPr>
              <w:t xml:space="preserve">Yağlı tohumlar - Numune alma </w:t>
            </w:r>
          </w:p>
        </w:tc>
        <w:tc>
          <w:tcPr>
            <w:tcW w:w="3536" w:type="dxa"/>
          </w:tcPr>
          <w:p w14:paraId="4C8D1B61" w14:textId="77777777" w:rsidR="000D4BA5" w:rsidRPr="00740047" w:rsidRDefault="000D4BA5" w:rsidP="000D4BA5">
            <w:pPr>
              <w:rPr>
                <w:rFonts w:ascii="Cambria" w:hAnsi="Cambria"/>
                <w:iCs/>
                <w:sz w:val="24"/>
                <w:szCs w:val="24"/>
                <w:u w:val="single"/>
              </w:rPr>
            </w:pPr>
            <w:r w:rsidRPr="00740047">
              <w:rPr>
                <w:rFonts w:ascii="Cambria" w:hAnsi="Cambria"/>
                <w:iCs/>
              </w:rPr>
              <w:t xml:space="preserve">Oilseeds - Sampling </w:t>
            </w:r>
          </w:p>
        </w:tc>
      </w:tr>
      <w:tr w:rsidR="00427963" w:rsidRPr="00740047" w14:paraId="3E4EA693" w14:textId="77777777" w:rsidTr="000D4BA5">
        <w:tc>
          <w:tcPr>
            <w:tcW w:w="2155" w:type="dxa"/>
          </w:tcPr>
          <w:p w14:paraId="6FD5CD4D" w14:textId="77777777" w:rsidR="00427963" w:rsidRPr="00740047" w:rsidRDefault="00427963" w:rsidP="00427963">
            <w:pPr>
              <w:pStyle w:val="stBilgi"/>
              <w:tabs>
                <w:tab w:val="clear" w:pos="4536"/>
                <w:tab w:val="clear" w:pos="9072"/>
              </w:tabs>
              <w:rPr>
                <w:rFonts w:ascii="Cambria" w:hAnsi="Cambria"/>
                <w:bCs/>
              </w:rPr>
            </w:pPr>
            <w:r w:rsidRPr="00740047">
              <w:rPr>
                <w:rFonts w:ascii="Cambria" w:hAnsi="Cambria"/>
                <w:bCs/>
              </w:rPr>
              <w:t>TS 1632 EN ISO 665</w:t>
            </w:r>
          </w:p>
        </w:tc>
        <w:tc>
          <w:tcPr>
            <w:tcW w:w="3261" w:type="dxa"/>
          </w:tcPr>
          <w:p w14:paraId="7831E61A" w14:textId="77777777" w:rsidR="00427963" w:rsidRPr="00740047" w:rsidRDefault="00427963" w:rsidP="00427963">
            <w:pPr>
              <w:pStyle w:val="stBilgi"/>
              <w:tabs>
                <w:tab w:val="left" w:pos="3240"/>
              </w:tabs>
              <w:ind w:right="-39"/>
              <w:rPr>
                <w:rFonts w:ascii="Cambria" w:hAnsi="Cambria"/>
              </w:rPr>
            </w:pPr>
            <w:r w:rsidRPr="00740047">
              <w:rPr>
                <w:rFonts w:ascii="Cambria" w:hAnsi="Cambria"/>
              </w:rPr>
              <w:t>Yağlı tohumlar - Rutubet ve uçucu madde muhtevasının tayini</w:t>
            </w:r>
          </w:p>
        </w:tc>
        <w:tc>
          <w:tcPr>
            <w:tcW w:w="3536" w:type="dxa"/>
          </w:tcPr>
          <w:p w14:paraId="2D555946" w14:textId="77777777" w:rsidR="00427963" w:rsidRPr="00740047" w:rsidRDefault="00427963" w:rsidP="00427963">
            <w:pPr>
              <w:rPr>
                <w:rFonts w:ascii="Cambria" w:hAnsi="Cambria"/>
                <w:iCs/>
              </w:rPr>
            </w:pPr>
            <w:r w:rsidRPr="00740047">
              <w:rPr>
                <w:rFonts w:ascii="Cambria" w:hAnsi="Cambria"/>
              </w:rPr>
              <w:t xml:space="preserve">Oil seeds - Determination of moisture and volatile matter content  </w:t>
            </w:r>
          </w:p>
        </w:tc>
      </w:tr>
    </w:tbl>
    <w:p w14:paraId="6A592E91" w14:textId="77777777" w:rsidR="000D4BA5" w:rsidRPr="00740047" w:rsidRDefault="000D4BA5" w:rsidP="000D4BA5">
      <w:pPr>
        <w:rPr>
          <w:rFonts w:ascii="Cambria" w:eastAsia="SimSun" w:hAnsi="Cambria"/>
        </w:rPr>
      </w:pPr>
    </w:p>
    <w:p w14:paraId="7A5C505B" w14:textId="77777777" w:rsidR="000D4BA5" w:rsidRPr="00740047" w:rsidRDefault="000D4BA5" w:rsidP="000D4BA5">
      <w:pPr>
        <w:rPr>
          <w:rFonts w:ascii="Cambria" w:eastAsia="SimSun" w:hAnsi="Cambria"/>
        </w:rPr>
      </w:pPr>
    </w:p>
    <w:p w14:paraId="4283B18A" w14:textId="77777777" w:rsidR="000D4BA5" w:rsidRPr="00740047" w:rsidRDefault="000D4BA5" w:rsidP="006B235D">
      <w:pPr>
        <w:pStyle w:val="ListeParagraf"/>
        <w:numPr>
          <w:ilvl w:val="0"/>
          <w:numId w:val="4"/>
        </w:numPr>
        <w:rPr>
          <w:rFonts w:ascii="Cambria" w:eastAsia="SimSun" w:hAnsi="Cambria"/>
        </w:rPr>
      </w:pPr>
      <w:r w:rsidRPr="00740047">
        <w:rPr>
          <w:rFonts w:ascii="Cambria" w:eastAsia="SimSun" w:hAnsi="Cambria"/>
        </w:rPr>
        <w:t>Atıf yapılan standard ve/veya dökümanlar kısmına aşağıdaki standardlar ilave edilmiştir.</w:t>
      </w:r>
    </w:p>
    <w:p w14:paraId="513EC5FC" w14:textId="77777777" w:rsidR="000D4BA5" w:rsidRPr="00740047" w:rsidRDefault="000D4BA5" w:rsidP="000D4BA5">
      <w:pPr>
        <w:rPr>
          <w:rFonts w:ascii="Cambria" w:eastAsia="SimSun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1"/>
        <w:gridCol w:w="3627"/>
        <w:gridCol w:w="3962"/>
      </w:tblGrid>
      <w:tr w:rsidR="000D4BA5" w:rsidRPr="00740047" w14:paraId="024AFB0F" w14:textId="77777777" w:rsidTr="000D4BA5">
        <w:trPr>
          <w:trHeight w:val="20"/>
        </w:trPr>
        <w:tc>
          <w:tcPr>
            <w:tcW w:w="1471" w:type="dxa"/>
          </w:tcPr>
          <w:p w14:paraId="703E3FFE" w14:textId="77777777" w:rsidR="000D4BA5" w:rsidRPr="00740047" w:rsidRDefault="000D4BA5" w:rsidP="000B3E74">
            <w:pPr>
              <w:jc w:val="left"/>
              <w:rPr>
                <w:rFonts w:ascii="Cambria" w:hAnsi="Cambria"/>
              </w:rPr>
            </w:pPr>
          </w:p>
        </w:tc>
        <w:tc>
          <w:tcPr>
            <w:tcW w:w="3627" w:type="dxa"/>
          </w:tcPr>
          <w:p w14:paraId="1F29DF3F" w14:textId="77777777" w:rsidR="000D4BA5" w:rsidRPr="00740047" w:rsidRDefault="000D4BA5" w:rsidP="000B3E74">
            <w:pPr>
              <w:jc w:val="left"/>
              <w:rPr>
                <w:rFonts w:ascii="Cambria" w:hAnsi="Cambria"/>
              </w:rPr>
            </w:pPr>
          </w:p>
        </w:tc>
        <w:tc>
          <w:tcPr>
            <w:tcW w:w="3962" w:type="dxa"/>
          </w:tcPr>
          <w:p w14:paraId="246643FD" w14:textId="77777777" w:rsidR="000D4BA5" w:rsidRPr="00740047" w:rsidRDefault="000D4BA5" w:rsidP="000B3E74">
            <w:pPr>
              <w:jc w:val="left"/>
              <w:rPr>
                <w:rFonts w:ascii="Cambria" w:hAnsi="Cambria"/>
              </w:rPr>
            </w:pPr>
          </w:p>
        </w:tc>
      </w:tr>
      <w:tr w:rsidR="00427963" w:rsidRPr="00740047" w14:paraId="7F1700A8" w14:textId="77777777" w:rsidTr="000D4BA5">
        <w:trPr>
          <w:trHeight w:val="20"/>
        </w:trPr>
        <w:tc>
          <w:tcPr>
            <w:tcW w:w="1471" w:type="dxa"/>
          </w:tcPr>
          <w:p w14:paraId="118E2021" w14:textId="77777777" w:rsidR="00427963" w:rsidRPr="00740047" w:rsidRDefault="00427963" w:rsidP="000B3E74">
            <w:pPr>
              <w:jc w:val="left"/>
              <w:rPr>
                <w:rFonts w:ascii="Cambria" w:hAnsi="Cambria"/>
              </w:rPr>
            </w:pPr>
            <w:r w:rsidRPr="00740047">
              <w:rPr>
                <w:rFonts w:ascii="Cambria" w:hAnsi="Cambria"/>
              </w:rPr>
              <w:t>TS EN ISO 665</w:t>
            </w:r>
          </w:p>
        </w:tc>
        <w:tc>
          <w:tcPr>
            <w:tcW w:w="3627" w:type="dxa"/>
          </w:tcPr>
          <w:p w14:paraId="147355E1" w14:textId="77777777" w:rsidR="00427963" w:rsidRPr="00740047" w:rsidRDefault="00427963" w:rsidP="000B3E74">
            <w:pPr>
              <w:jc w:val="left"/>
              <w:rPr>
                <w:rFonts w:ascii="Cambria" w:hAnsi="Cambria"/>
              </w:rPr>
            </w:pPr>
            <w:r w:rsidRPr="00740047">
              <w:rPr>
                <w:rFonts w:ascii="Cambria" w:hAnsi="Cambria"/>
              </w:rPr>
              <w:t>Yağlı tohumlar- Rutubet ve uçucu madde muhtevasının tayini</w:t>
            </w:r>
          </w:p>
        </w:tc>
        <w:tc>
          <w:tcPr>
            <w:tcW w:w="3962" w:type="dxa"/>
          </w:tcPr>
          <w:p w14:paraId="27B25296" w14:textId="77777777" w:rsidR="00427963" w:rsidRPr="00740047" w:rsidRDefault="00427963" w:rsidP="000B3E74">
            <w:pPr>
              <w:jc w:val="left"/>
              <w:rPr>
                <w:rFonts w:ascii="Cambria" w:hAnsi="Cambria"/>
              </w:rPr>
            </w:pPr>
            <w:r w:rsidRPr="00740047">
              <w:rPr>
                <w:rFonts w:ascii="Cambria" w:hAnsi="Cambria"/>
              </w:rPr>
              <w:t>Oil seeds- Determination of moisture and volatile matter content</w:t>
            </w:r>
          </w:p>
        </w:tc>
      </w:tr>
      <w:tr w:rsidR="00427963" w:rsidRPr="00740047" w14:paraId="3847F2C1" w14:textId="77777777" w:rsidTr="000D4BA5">
        <w:trPr>
          <w:trHeight w:val="20"/>
        </w:trPr>
        <w:tc>
          <w:tcPr>
            <w:tcW w:w="1471" w:type="dxa"/>
          </w:tcPr>
          <w:p w14:paraId="308127C4" w14:textId="77777777" w:rsidR="00427963" w:rsidRPr="00740047" w:rsidRDefault="00427963" w:rsidP="00427963">
            <w:pPr>
              <w:jc w:val="left"/>
              <w:rPr>
                <w:rFonts w:ascii="Cambria" w:hAnsi="Cambria"/>
              </w:rPr>
            </w:pPr>
            <w:r w:rsidRPr="00740047">
              <w:rPr>
                <w:rFonts w:ascii="Cambria" w:hAnsi="Cambria"/>
              </w:rPr>
              <w:t>TS EN ISO 21294</w:t>
            </w:r>
          </w:p>
        </w:tc>
        <w:tc>
          <w:tcPr>
            <w:tcW w:w="3627" w:type="dxa"/>
          </w:tcPr>
          <w:p w14:paraId="65DF520F" w14:textId="77777777" w:rsidR="00427963" w:rsidRPr="00740047" w:rsidRDefault="00427963" w:rsidP="00427963">
            <w:pPr>
              <w:jc w:val="left"/>
              <w:rPr>
                <w:rFonts w:ascii="Cambria" w:hAnsi="Cambria"/>
              </w:rPr>
            </w:pPr>
            <w:r w:rsidRPr="00740047">
              <w:rPr>
                <w:rFonts w:ascii="Cambria" w:hAnsi="Cambria"/>
              </w:rPr>
              <w:t>Yağlı tohumlar-Manuel veya otomatik aralıklı numune alma</w:t>
            </w:r>
          </w:p>
        </w:tc>
        <w:tc>
          <w:tcPr>
            <w:tcW w:w="3962" w:type="dxa"/>
          </w:tcPr>
          <w:p w14:paraId="435BEAB5" w14:textId="77777777" w:rsidR="00427963" w:rsidRPr="00740047" w:rsidRDefault="00427963" w:rsidP="00427963">
            <w:pPr>
              <w:jc w:val="left"/>
              <w:rPr>
                <w:rFonts w:ascii="Cambria" w:hAnsi="Cambria"/>
              </w:rPr>
            </w:pPr>
            <w:r w:rsidRPr="00740047">
              <w:rPr>
                <w:rFonts w:ascii="Cambria" w:hAnsi="Cambria"/>
              </w:rPr>
              <w:t>Oilseeds - Manual or automatic discontinuous sampling (ISO 21294:2017)</w:t>
            </w:r>
          </w:p>
        </w:tc>
      </w:tr>
    </w:tbl>
    <w:p w14:paraId="3B389727" w14:textId="77777777" w:rsidR="000D4BA5" w:rsidRPr="00740047" w:rsidRDefault="000D4BA5" w:rsidP="003A7757">
      <w:pPr>
        <w:rPr>
          <w:rFonts w:ascii="Cambria" w:eastAsia="Times New Roman" w:hAnsi="Cambria" w:cs="Times New Roman"/>
          <w:szCs w:val="20"/>
          <w:lang w:eastAsia="tr-TR"/>
        </w:rPr>
      </w:pPr>
    </w:p>
    <w:p w14:paraId="050B8020" w14:textId="77777777" w:rsidR="000D4BA5" w:rsidRPr="00740047" w:rsidRDefault="000D4BA5" w:rsidP="003A7757">
      <w:pPr>
        <w:rPr>
          <w:rFonts w:ascii="Cambria" w:eastAsia="Times New Roman" w:hAnsi="Cambria" w:cs="Times New Roman"/>
          <w:szCs w:val="20"/>
          <w:lang w:eastAsia="tr-TR"/>
        </w:rPr>
      </w:pPr>
    </w:p>
    <w:p w14:paraId="253EEDA5" w14:textId="77777777" w:rsidR="000D4BA5" w:rsidRPr="00740047" w:rsidRDefault="000D4BA5" w:rsidP="003A7757">
      <w:pPr>
        <w:rPr>
          <w:rFonts w:ascii="Cambria" w:eastAsia="Times New Roman" w:hAnsi="Cambria" w:cs="Times New Roman"/>
          <w:szCs w:val="20"/>
          <w:lang w:eastAsia="tr-TR"/>
        </w:rPr>
      </w:pPr>
    </w:p>
    <w:p w14:paraId="7A2F983F" w14:textId="77777777" w:rsidR="006E65F1" w:rsidRPr="00740047" w:rsidRDefault="006E65F1" w:rsidP="006E65F1">
      <w:pPr>
        <w:pStyle w:val="ListeParagraf"/>
        <w:numPr>
          <w:ilvl w:val="0"/>
          <w:numId w:val="2"/>
        </w:numPr>
        <w:rPr>
          <w:rFonts w:ascii="Cambria" w:eastAsia="Times New Roman" w:hAnsi="Cambria" w:cs="Times New Roman"/>
          <w:szCs w:val="20"/>
          <w:lang w:eastAsia="tr-TR"/>
        </w:rPr>
      </w:pPr>
      <w:r w:rsidRPr="00740047">
        <w:rPr>
          <w:rFonts w:ascii="Cambria" w:eastAsia="Times New Roman" w:hAnsi="Cambria" w:cs="Times New Roman"/>
          <w:szCs w:val="20"/>
          <w:lang w:eastAsia="tr-TR"/>
        </w:rPr>
        <w:t>Çizelge 5 Özellik, muayene ve deney madde numaraları çizelgesine aşağıdaki satır</w:t>
      </w:r>
      <w:r w:rsidR="00D63443" w:rsidRPr="00740047">
        <w:rPr>
          <w:rFonts w:ascii="Cambria" w:eastAsia="Times New Roman" w:hAnsi="Cambria" w:cs="Times New Roman"/>
          <w:szCs w:val="20"/>
          <w:lang w:eastAsia="tr-TR"/>
        </w:rPr>
        <w:t>lar</w:t>
      </w:r>
      <w:r w:rsidRPr="00740047">
        <w:rPr>
          <w:rFonts w:ascii="Cambria" w:eastAsia="Times New Roman" w:hAnsi="Cambria" w:cs="Times New Roman"/>
          <w:szCs w:val="20"/>
          <w:lang w:eastAsia="tr-TR"/>
        </w:rPr>
        <w:t xml:space="preserve"> eklenmiştir.</w:t>
      </w:r>
    </w:p>
    <w:p w14:paraId="0EF0A9C4" w14:textId="77777777" w:rsidR="006E65F1" w:rsidRPr="00740047" w:rsidRDefault="006E65F1" w:rsidP="006E65F1">
      <w:pPr>
        <w:rPr>
          <w:rFonts w:ascii="Cambria" w:eastAsia="Times New Roman" w:hAnsi="Cambria" w:cs="Times New Roman"/>
          <w:szCs w:val="20"/>
          <w:lang w:eastAsia="tr-TR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1701"/>
        <w:gridCol w:w="1843"/>
      </w:tblGrid>
      <w:tr w:rsidR="006E65F1" w:rsidRPr="00740047" w14:paraId="38DE2DCC" w14:textId="77777777" w:rsidTr="002D7B4C">
        <w:trPr>
          <w:trHeight w:val="330"/>
        </w:trPr>
        <w:tc>
          <w:tcPr>
            <w:tcW w:w="3686" w:type="dxa"/>
            <w:vAlign w:val="center"/>
          </w:tcPr>
          <w:p w14:paraId="41AD87DD" w14:textId="77777777" w:rsidR="006E65F1" w:rsidRPr="00740047" w:rsidRDefault="006E65F1" w:rsidP="002D7B4C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740047">
              <w:rPr>
                <w:rFonts w:ascii="Cambria" w:hAnsi="Cambria"/>
                <w:b/>
                <w:szCs w:val="24"/>
              </w:rPr>
              <w:t>Özellik</w:t>
            </w:r>
          </w:p>
        </w:tc>
        <w:tc>
          <w:tcPr>
            <w:tcW w:w="1701" w:type="dxa"/>
            <w:vAlign w:val="center"/>
          </w:tcPr>
          <w:p w14:paraId="394203F3" w14:textId="77777777" w:rsidR="006E65F1" w:rsidRPr="00740047" w:rsidRDefault="006E65F1" w:rsidP="002D7B4C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740047">
              <w:rPr>
                <w:rFonts w:ascii="Cambria" w:hAnsi="Cambria"/>
                <w:b/>
                <w:szCs w:val="24"/>
              </w:rPr>
              <w:t>Madde no</w:t>
            </w:r>
          </w:p>
        </w:tc>
        <w:tc>
          <w:tcPr>
            <w:tcW w:w="1843" w:type="dxa"/>
            <w:vAlign w:val="center"/>
          </w:tcPr>
          <w:p w14:paraId="349E52E0" w14:textId="77777777" w:rsidR="006E65F1" w:rsidRPr="00740047" w:rsidRDefault="006E65F1" w:rsidP="002D7B4C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740047">
              <w:rPr>
                <w:rFonts w:ascii="Cambria" w:hAnsi="Cambria"/>
                <w:b/>
                <w:szCs w:val="24"/>
              </w:rPr>
              <w:t>Muayene ve deney madde no</w:t>
            </w:r>
          </w:p>
        </w:tc>
      </w:tr>
      <w:tr w:rsidR="006E65F1" w:rsidRPr="00740047" w14:paraId="4F539812" w14:textId="77777777" w:rsidTr="00427963">
        <w:trPr>
          <w:trHeight w:val="341"/>
        </w:trPr>
        <w:tc>
          <w:tcPr>
            <w:tcW w:w="3686" w:type="dxa"/>
            <w:vAlign w:val="center"/>
          </w:tcPr>
          <w:p w14:paraId="3E8FBD75" w14:textId="77777777" w:rsidR="006E65F1" w:rsidRPr="00740047" w:rsidRDefault="00D63443" w:rsidP="006E65F1">
            <w:pPr>
              <w:jc w:val="left"/>
              <w:rPr>
                <w:rFonts w:ascii="Cambria" w:hAnsi="Cambria"/>
                <w:szCs w:val="24"/>
              </w:rPr>
            </w:pPr>
            <w:r w:rsidRPr="00740047">
              <w:rPr>
                <w:rFonts w:ascii="Cambria" w:hAnsi="Cambria"/>
                <w:szCs w:val="24"/>
              </w:rPr>
              <w:t>Sınıflara göre tip toleransı tayini</w:t>
            </w:r>
          </w:p>
        </w:tc>
        <w:tc>
          <w:tcPr>
            <w:tcW w:w="1701" w:type="dxa"/>
            <w:vAlign w:val="center"/>
          </w:tcPr>
          <w:p w14:paraId="2B63FCE2" w14:textId="77777777" w:rsidR="006E65F1" w:rsidRPr="00740047" w:rsidRDefault="006E65F1" w:rsidP="006E65F1">
            <w:pPr>
              <w:jc w:val="center"/>
              <w:rPr>
                <w:rFonts w:ascii="Cambria" w:hAnsi="Cambria"/>
                <w:szCs w:val="24"/>
              </w:rPr>
            </w:pPr>
            <w:r w:rsidRPr="00740047">
              <w:rPr>
                <w:rFonts w:ascii="Cambria" w:hAnsi="Cambria"/>
                <w:szCs w:val="24"/>
              </w:rPr>
              <w:t>4.3</w:t>
            </w:r>
            <w:r w:rsidR="00D63443" w:rsidRPr="00740047">
              <w:rPr>
                <w:rFonts w:ascii="Cambria" w:hAnsi="Cambria"/>
                <w:szCs w:val="24"/>
              </w:rPr>
              <w:t>.1</w:t>
            </w:r>
          </w:p>
        </w:tc>
        <w:tc>
          <w:tcPr>
            <w:tcW w:w="1843" w:type="dxa"/>
            <w:vAlign w:val="center"/>
          </w:tcPr>
          <w:p w14:paraId="35E9399A" w14:textId="77777777" w:rsidR="006E65F1" w:rsidRPr="00740047" w:rsidRDefault="00D63443" w:rsidP="006E65F1">
            <w:pPr>
              <w:jc w:val="center"/>
              <w:rPr>
                <w:rFonts w:ascii="Cambria" w:hAnsi="Cambria"/>
                <w:szCs w:val="24"/>
              </w:rPr>
            </w:pPr>
            <w:r w:rsidRPr="00740047">
              <w:rPr>
                <w:rFonts w:ascii="Cambria" w:hAnsi="Cambria"/>
                <w:szCs w:val="24"/>
              </w:rPr>
              <w:t>5.3.9</w:t>
            </w:r>
          </w:p>
        </w:tc>
      </w:tr>
      <w:tr w:rsidR="00D63443" w:rsidRPr="00740047" w14:paraId="6BE2C607" w14:textId="77777777" w:rsidTr="00427963">
        <w:trPr>
          <w:trHeight w:val="261"/>
        </w:trPr>
        <w:tc>
          <w:tcPr>
            <w:tcW w:w="3686" w:type="dxa"/>
            <w:vAlign w:val="center"/>
          </w:tcPr>
          <w:p w14:paraId="54FDBD2F" w14:textId="77777777" w:rsidR="00D63443" w:rsidRPr="00740047" w:rsidRDefault="00D63443" w:rsidP="006E65F1">
            <w:pPr>
              <w:jc w:val="left"/>
              <w:rPr>
                <w:rFonts w:ascii="Cambria" w:hAnsi="Cambria"/>
                <w:szCs w:val="24"/>
              </w:rPr>
            </w:pPr>
            <w:r w:rsidRPr="00740047">
              <w:rPr>
                <w:rFonts w:ascii="Cambria" w:hAnsi="Cambria"/>
                <w:szCs w:val="24"/>
              </w:rPr>
              <w:t>Boy toleranslarının tayini</w:t>
            </w:r>
          </w:p>
        </w:tc>
        <w:tc>
          <w:tcPr>
            <w:tcW w:w="1701" w:type="dxa"/>
            <w:vAlign w:val="center"/>
          </w:tcPr>
          <w:p w14:paraId="254F9B54" w14:textId="77777777" w:rsidR="00D63443" w:rsidRPr="00740047" w:rsidRDefault="00D63443" w:rsidP="006E65F1">
            <w:pPr>
              <w:jc w:val="center"/>
              <w:rPr>
                <w:rFonts w:ascii="Cambria" w:hAnsi="Cambria"/>
                <w:szCs w:val="24"/>
              </w:rPr>
            </w:pPr>
            <w:r w:rsidRPr="00740047">
              <w:rPr>
                <w:rFonts w:ascii="Cambria" w:hAnsi="Cambria"/>
                <w:szCs w:val="24"/>
              </w:rPr>
              <w:t>4.3.2</w:t>
            </w:r>
          </w:p>
        </w:tc>
        <w:tc>
          <w:tcPr>
            <w:tcW w:w="1843" w:type="dxa"/>
            <w:vAlign w:val="center"/>
          </w:tcPr>
          <w:p w14:paraId="7A06A487" w14:textId="77777777" w:rsidR="00D63443" w:rsidRPr="00740047" w:rsidRDefault="00D63443" w:rsidP="006E65F1">
            <w:pPr>
              <w:jc w:val="center"/>
              <w:rPr>
                <w:rFonts w:ascii="Cambria" w:hAnsi="Cambria"/>
                <w:szCs w:val="24"/>
              </w:rPr>
            </w:pPr>
            <w:r w:rsidRPr="00740047">
              <w:rPr>
                <w:rFonts w:ascii="Cambria" w:hAnsi="Cambria"/>
                <w:szCs w:val="24"/>
              </w:rPr>
              <w:t>5.3.10</w:t>
            </w:r>
          </w:p>
        </w:tc>
      </w:tr>
    </w:tbl>
    <w:p w14:paraId="75D3E576" w14:textId="77777777" w:rsidR="006E65F1" w:rsidRPr="00740047" w:rsidRDefault="006E65F1" w:rsidP="006E65F1">
      <w:pPr>
        <w:rPr>
          <w:rFonts w:ascii="Cambria" w:eastAsia="Times New Roman" w:hAnsi="Cambria" w:cs="Times New Roman"/>
          <w:szCs w:val="20"/>
          <w:lang w:eastAsia="tr-TR"/>
        </w:rPr>
      </w:pPr>
    </w:p>
    <w:p w14:paraId="5D16E7DC" w14:textId="77777777" w:rsidR="006E65F1" w:rsidRPr="00740047" w:rsidRDefault="006E65F1" w:rsidP="003A7757">
      <w:pPr>
        <w:rPr>
          <w:rFonts w:ascii="Cambria" w:eastAsia="Times New Roman" w:hAnsi="Cambria" w:cs="Times New Roman"/>
          <w:szCs w:val="20"/>
          <w:lang w:eastAsia="tr-TR"/>
        </w:rPr>
      </w:pPr>
    </w:p>
    <w:p w14:paraId="52C9D6D6" w14:textId="77777777" w:rsidR="000D4BA5" w:rsidRPr="00740047" w:rsidRDefault="000D4BA5" w:rsidP="000D4BA5">
      <w:pPr>
        <w:pStyle w:val="ListeParagraf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Cambria" w:hAnsi="Cambria"/>
        </w:rPr>
      </w:pPr>
      <w:r w:rsidRPr="00740047">
        <w:rPr>
          <w:rFonts w:ascii="Cambria" w:hAnsi="Cambria"/>
        </w:rPr>
        <w:t xml:space="preserve">Madde </w:t>
      </w:r>
      <w:r w:rsidR="00427963" w:rsidRPr="00740047">
        <w:rPr>
          <w:rFonts w:ascii="Cambria" w:hAnsi="Cambria"/>
        </w:rPr>
        <w:t>5.</w:t>
      </w:r>
      <w:r w:rsidRPr="00740047">
        <w:rPr>
          <w:rFonts w:ascii="Cambria" w:hAnsi="Cambria"/>
        </w:rPr>
        <w:t>1 Numune alma maddesinin ikinci paragrafı aşa</w:t>
      </w:r>
      <w:r w:rsidR="00427963" w:rsidRPr="00740047">
        <w:rPr>
          <w:rFonts w:ascii="Cambria" w:hAnsi="Cambria"/>
        </w:rPr>
        <w:t>ğıdaki şekilde değiştirilmiştir;</w:t>
      </w:r>
    </w:p>
    <w:p w14:paraId="2443A982" w14:textId="77777777" w:rsidR="000D4BA5" w:rsidRPr="00740047" w:rsidRDefault="000D4BA5" w:rsidP="000D4BA5">
      <w:pPr>
        <w:autoSpaceDE w:val="0"/>
        <w:autoSpaceDN w:val="0"/>
        <w:adjustRightInd w:val="0"/>
        <w:jc w:val="left"/>
        <w:rPr>
          <w:rFonts w:ascii="Cambria" w:hAnsi="Cambria"/>
        </w:rPr>
      </w:pPr>
    </w:p>
    <w:p w14:paraId="52CAAAEE" w14:textId="77777777" w:rsidR="000D4BA5" w:rsidRPr="00740047" w:rsidRDefault="000D4BA5" w:rsidP="00427963">
      <w:pPr>
        <w:rPr>
          <w:rFonts w:ascii="Cambria" w:hAnsi="Cambria"/>
        </w:rPr>
      </w:pPr>
      <w:r w:rsidRPr="00740047">
        <w:rPr>
          <w:rFonts w:ascii="Cambria" w:hAnsi="Cambria"/>
        </w:rPr>
        <w:t xml:space="preserve">Yerfıstığı numunesi almak için Çizelge 6’da belirtilen partiyi oluşturan ambalaj birimlerinin miktarlarına göre karşılarında gösterilen sayıda ambalaj ayrılır.  Bu ambalajlar parti içerisinden aşağıdaki örnekleme metodu uygulanarak TS EN ISO </w:t>
      </w:r>
      <w:r w:rsidR="001325D1" w:rsidRPr="00740047">
        <w:rPr>
          <w:rFonts w:ascii="Cambria" w:hAnsi="Cambria"/>
        </w:rPr>
        <w:t>21294</w:t>
      </w:r>
      <w:r w:rsidRPr="00740047">
        <w:rPr>
          <w:rFonts w:ascii="Cambria" w:hAnsi="Cambria"/>
        </w:rPr>
        <w:t>’e göre alınmalıdır.</w:t>
      </w:r>
    </w:p>
    <w:p w14:paraId="440C49F9" w14:textId="77777777" w:rsidR="00427963" w:rsidRPr="00740047" w:rsidRDefault="00427963" w:rsidP="00427963">
      <w:pPr>
        <w:rPr>
          <w:rFonts w:ascii="Cambria" w:hAnsi="Cambria"/>
        </w:rPr>
      </w:pPr>
    </w:p>
    <w:p w14:paraId="267EA34F" w14:textId="77777777" w:rsidR="00427963" w:rsidRPr="00740047" w:rsidRDefault="00427963" w:rsidP="00427963">
      <w:pPr>
        <w:rPr>
          <w:rFonts w:ascii="Cambria" w:hAnsi="Cambria"/>
        </w:rPr>
      </w:pPr>
    </w:p>
    <w:p w14:paraId="634BDCF9" w14:textId="77777777" w:rsidR="00427963" w:rsidRPr="00740047" w:rsidRDefault="00427963" w:rsidP="00427963">
      <w:pPr>
        <w:pStyle w:val="ListeParagraf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Cambria" w:hAnsi="Cambria"/>
        </w:rPr>
      </w:pPr>
      <w:r w:rsidRPr="00740047">
        <w:rPr>
          <w:rFonts w:ascii="Cambria" w:hAnsi="Cambria"/>
        </w:rPr>
        <w:lastRenderedPageBreak/>
        <w:t>Madde 5.3.1 ”Rutubet muhtevası tayini” maddesi aşağıdaki şekilde değiştirilmiştir;</w:t>
      </w:r>
    </w:p>
    <w:p w14:paraId="70691D09" w14:textId="77777777" w:rsidR="00427963" w:rsidRPr="00740047" w:rsidRDefault="00427963" w:rsidP="00427963">
      <w:pPr>
        <w:rPr>
          <w:rFonts w:ascii="Cambria" w:hAnsi="Cambria"/>
        </w:rPr>
      </w:pPr>
    </w:p>
    <w:p w14:paraId="0B8BE7A5" w14:textId="77777777" w:rsidR="00427963" w:rsidRPr="00740047" w:rsidRDefault="00427963" w:rsidP="00427963">
      <w:pPr>
        <w:pStyle w:val="Balk3"/>
        <w:rPr>
          <w:rFonts w:ascii="Cambria" w:hAnsi="Cambria"/>
        </w:rPr>
      </w:pPr>
      <w:r w:rsidRPr="00740047">
        <w:rPr>
          <w:rFonts w:ascii="Cambria" w:hAnsi="Cambria"/>
        </w:rPr>
        <w:t>5.3.1</w:t>
      </w:r>
      <w:r w:rsidRPr="00740047">
        <w:rPr>
          <w:rFonts w:ascii="Cambria" w:hAnsi="Cambria"/>
        </w:rPr>
        <w:tab/>
        <w:t>Rutubet muhtevası tayini</w:t>
      </w:r>
    </w:p>
    <w:p w14:paraId="114264B5" w14:textId="77777777" w:rsidR="00427963" w:rsidRPr="00740047" w:rsidRDefault="00427963" w:rsidP="00427963">
      <w:pPr>
        <w:rPr>
          <w:rFonts w:ascii="Cambria" w:hAnsi="Cambria"/>
          <w:szCs w:val="24"/>
        </w:rPr>
      </w:pPr>
      <w:r w:rsidRPr="00740047">
        <w:rPr>
          <w:rFonts w:ascii="Cambria" w:hAnsi="Cambria"/>
          <w:szCs w:val="24"/>
        </w:rPr>
        <w:t>Rutubet muhtevasının tayini, TS EN ISO 665’e göre yapılır ve sonucun Madde 4.2.2’ye uygun olup olmadığına bakılır.</w:t>
      </w:r>
    </w:p>
    <w:p w14:paraId="3B1E3D56" w14:textId="77777777" w:rsidR="00427963" w:rsidRPr="00740047" w:rsidRDefault="00427963" w:rsidP="00427963">
      <w:pPr>
        <w:rPr>
          <w:rFonts w:ascii="Cambria" w:hAnsi="Cambria"/>
        </w:rPr>
      </w:pPr>
    </w:p>
    <w:p w14:paraId="1223CDF5" w14:textId="77777777" w:rsidR="00D043A3" w:rsidRPr="00740047" w:rsidRDefault="000D6FDB" w:rsidP="000D6FDB">
      <w:pPr>
        <w:pStyle w:val="ListeParagraf"/>
        <w:numPr>
          <w:ilvl w:val="0"/>
          <w:numId w:val="2"/>
        </w:numPr>
        <w:rPr>
          <w:rFonts w:ascii="Cambria" w:eastAsia="Times New Roman" w:hAnsi="Cambria" w:cs="Times New Roman"/>
          <w:szCs w:val="20"/>
          <w:lang w:eastAsia="tr-TR"/>
        </w:rPr>
      </w:pPr>
      <w:r w:rsidRPr="00740047">
        <w:rPr>
          <w:rFonts w:ascii="Cambria" w:eastAsia="Times New Roman" w:hAnsi="Cambria" w:cs="Times New Roman"/>
          <w:szCs w:val="20"/>
          <w:lang w:eastAsia="tr-TR"/>
        </w:rPr>
        <w:t>Standart metne “</w:t>
      </w:r>
      <w:r w:rsidR="005870B6" w:rsidRPr="00740047">
        <w:rPr>
          <w:rFonts w:ascii="Cambria" w:eastAsia="Times New Roman" w:hAnsi="Cambria" w:cs="Times New Roman"/>
          <w:szCs w:val="20"/>
          <w:lang w:eastAsia="tr-TR"/>
        </w:rPr>
        <w:t>Madde 5.</w:t>
      </w:r>
      <w:r w:rsidRPr="00740047">
        <w:rPr>
          <w:rFonts w:ascii="Cambria" w:eastAsia="Times New Roman" w:hAnsi="Cambria" w:cs="Times New Roman"/>
          <w:szCs w:val="20"/>
          <w:lang w:eastAsia="tr-TR"/>
        </w:rPr>
        <w:t>3</w:t>
      </w:r>
      <w:r w:rsidR="005870B6" w:rsidRPr="00740047">
        <w:rPr>
          <w:rFonts w:ascii="Cambria" w:eastAsia="Times New Roman" w:hAnsi="Cambria" w:cs="Times New Roman"/>
          <w:szCs w:val="20"/>
          <w:lang w:eastAsia="tr-TR"/>
        </w:rPr>
        <w:t>.9</w:t>
      </w:r>
      <w:r w:rsidRPr="00740047">
        <w:rPr>
          <w:rFonts w:ascii="Cambria" w:eastAsia="Times New Roman" w:hAnsi="Cambria" w:cs="Times New Roman"/>
          <w:szCs w:val="20"/>
          <w:lang w:eastAsia="tr-TR"/>
        </w:rPr>
        <w:t xml:space="preserve"> Sınıf</w:t>
      </w:r>
      <w:r w:rsidR="00611C02" w:rsidRPr="00740047">
        <w:rPr>
          <w:rFonts w:ascii="Cambria" w:eastAsia="Times New Roman" w:hAnsi="Cambria" w:cs="Times New Roman"/>
          <w:szCs w:val="20"/>
          <w:lang w:eastAsia="tr-TR"/>
        </w:rPr>
        <w:t>lara göre tip</w:t>
      </w:r>
      <w:r w:rsidR="005870B6" w:rsidRPr="00740047">
        <w:rPr>
          <w:rFonts w:ascii="Cambria" w:eastAsia="Times New Roman" w:hAnsi="Cambria" w:cs="Times New Roman"/>
          <w:szCs w:val="20"/>
          <w:lang w:eastAsia="tr-TR"/>
        </w:rPr>
        <w:t xml:space="preserve"> toleranslarının tayini</w:t>
      </w:r>
      <w:r w:rsidRPr="00740047">
        <w:rPr>
          <w:rFonts w:ascii="Cambria" w:eastAsia="Times New Roman" w:hAnsi="Cambria" w:cs="Times New Roman"/>
          <w:szCs w:val="20"/>
          <w:lang w:eastAsia="tr-TR"/>
        </w:rPr>
        <w:t>” maddesi eklenmiştir.</w:t>
      </w:r>
    </w:p>
    <w:p w14:paraId="02A0EEF3" w14:textId="77777777" w:rsidR="000D6FDB" w:rsidRPr="00740047" w:rsidRDefault="000D6FDB" w:rsidP="000D6FDB">
      <w:pPr>
        <w:rPr>
          <w:rFonts w:ascii="Cambria" w:eastAsia="Times New Roman" w:hAnsi="Cambria" w:cs="Times New Roman"/>
          <w:szCs w:val="20"/>
          <w:lang w:eastAsia="tr-TR"/>
        </w:rPr>
      </w:pPr>
    </w:p>
    <w:p w14:paraId="72FB8391" w14:textId="77777777" w:rsidR="000D6FDB" w:rsidRPr="00740047" w:rsidRDefault="005870B6" w:rsidP="000D6FDB">
      <w:pPr>
        <w:pStyle w:val="Balk3"/>
        <w:rPr>
          <w:rFonts w:ascii="Cambria" w:hAnsi="Cambria"/>
        </w:rPr>
      </w:pPr>
      <w:r w:rsidRPr="00740047">
        <w:rPr>
          <w:rFonts w:ascii="Cambria" w:hAnsi="Cambria"/>
        </w:rPr>
        <w:t>5.3.9</w:t>
      </w:r>
      <w:r w:rsidR="000D6FDB" w:rsidRPr="00740047">
        <w:rPr>
          <w:rFonts w:ascii="Cambria" w:hAnsi="Cambria"/>
        </w:rPr>
        <w:t xml:space="preserve"> </w:t>
      </w:r>
      <w:r w:rsidRPr="00740047">
        <w:rPr>
          <w:rFonts w:ascii="Cambria" w:hAnsi="Cambria"/>
        </w:rPr>
        <w:t>Sınıflara göre</w:t>
      </w:r>
      <w:r w:rsidR="000D6FDB" w:rsidRPr="00740047">
        <w:rPr>
          <w:rFonts w:ascii="Cambria" w:hAnsi="Cambria"/>
        </w:rPr>
        <w:t xml:space="preserve"> </w:t>
      </w:r>
      <w:r w:rsidRPr="00740047">
        <w:rPr>
          <w:rFonts w:ascii="Cambria" w:hAnsi="Cambria"/>
        </w:rPr>
        <w:t xml:space="preserve">tip </w:t>
      </w:r>
      <w:r w:rsidR="000D6FDB" w:rsidRPr="00740047">
        <w:rPr>
          <w:rFonts w:ascii="Cambria" w:hAnsi="Cambria"/>
        </w:rPr>
        <w:t>toleransları</w:t>
      </w:r>
      <w:r w:rsidRPr="00740047">
        <w:rPr>
          <w:rFonts w:ascii="Cambria" w:hAnsi="Cambria"/>
        </w:rPr>
        <w:t>nın tayini</w:t>
      </w:r>
    </w:p>
    <w:p w14:paraId="35F340B9" w14:textId="77777777" w:rsidR="00611C02" w:rsidRPr="00740047" w:rsidRDefault="00611C02" w:rsidP="00611C02">
      <w:pPr>
        <w:tabs>
          <w:tab w:val="left" w:pos="1545"/>
        </w:tabs>
        <w:rPr>
          <w:rFonts w:ascii="Cambria" w:hAnsi="Cambria"/>
          <w:szCs w:val="20"/>
        </w:rPr>
      </w:pPr>
      <w:r w:rsidRPr="00740047">
        <w:rPr>
          <w:rFonts w:ascii="Cambria" w:hAnsi="Cambria"/>
          <w:szCs w:val="20"/>
        </w:rPr>
        <w:t>Yerfıstıklarının sınıf toleranslarını belirlemek için sınıfları temsilen Madde 5.1’e göre alınmış paçal numuneden 100 adetlik 3 adet numune alınır. Her bir</w:t>
      </w:r>
      <w:r w:rsidR="007C7E6A" w:rsidRPr="00740047">
        <w:rPr>
          <w:rFonts w:ascii="Cambria" w:hAnsi="Cambria"/>
          <w:szCs w:val="20"/>
        </w:rPr>
        <w:t xml:space="preserve"> sınıf</w:t>
      </w:r>
      <w:r w:rsidRPr="00740047">
        <w:rPr>
          <w:rFonts w:ascii="Cambria" w:hAnsi="Cambria"/>
          <w:szCs w:val="20"/>
        </w:rPr>
        <w:t xml:space="preserve"> numune</w:t>
      </w:r>
      <w:r w:rsidR="007C7E6A" w:rsidRPr="00740047">
        <w:rPr>
          <w:rFonts w:ascii="Cambria" w:hAnsi="Cambria"/>
          <w:szCs w:val="20"/>
        </w:rPr>
        <w:t>si içerisindeki ayrı ayrı farklı sınıflara ait</w:t>
      </w:r>
      <w:r w:rsidRPr="00740047">
        <w:rPr>
          <w:rFonts w:ascii="Cambria" w:hAnsi="Cambria"/>
          <w:szCs w:val="20"/>
        </w:rPr>
        <w:t xml:space="preserve"> yerfıstıkları sayısı tane olarak belirlenir.</w:t>
      </w:r>
      <w:r w:rsidR="007C7E6A" w:rsidRPr="00740047">
        <w:rPr>
          <w:rFonts w:ascii="Cambria" w:hAnsi="Cambria"/>
          <w:szCs w:val="20"/>
        </w:rPr>
        <w:t xml:space="preserve"> Bu elde edilen sayım sonuçlarının ortalaması alınarak Madde 4.3.1’e uyup uymadığına bakılır.</w:t>
      </w:r>
      <w:r w:rsidRPr="00740047">
        <w:rPr>
          <w:rFonts w:ascii="Cambria" w:hAnsi="Cambria"/>
          <w:szCs w:val="20"/>
        </w:rPr>
        <w:t xml:space="preserve"> </w:t>
      </w:r>
    </w:p>
    <w:p w14:paraId="5006CB1A" w14:textId="77777777" w:rsidR="00611C02" w:rsidRPr="00740047" w:rsidRDefault="00611C02" w:rsidP="00611C02">
      <w:pPr>
        <w:tabs>
          <w:tab w:val="left" w:pos="1545"/>
        </w:tabs>
        <w:rPr>
          <w:rFonts w:ascii="Cambria" w:hAnsi="Cambria"/>
          <w:szCs w:val="20"/>
        </w:rPr>
      </w:pPr>
    </w:p>
    <w:p w14:paraId="2FAA92BE" w14:textId="77777777" w:rsidR="000D6FDB" w:rsidRPr="00740047" w:rsidRDefault="000D6FDB" w:rsidP="00611C02">
      <w:pPr>
        <w:tabs>
          <w:tab w:val="left" w:pos="1545"/>
        </w:tabs>
        <w:rPr>
          <w:rFonts w:ascii="Cambria" w:eastAsia="Times New Roman" w:hAnsi="Cambria" w:cs="Times New Roman"/>
          <w:szCs w:val="20"/>
          <w:lang w:eastAsia="tr-TR"/>
        </w:rPr>
      </w:pPr>
    </w:p>
    <w:p w14:paraId="3DCC44E3" w14:textId="77777777" w:rsidR="007C7E6A" w:rsidRPr="00740047" w:rsidRDefault="007C7E6A" w:rsidP="007C7E6A">
      <w:pPr>
        <w:pStyle w:val="ListeParagraf"/>
        <w:numPr>
          <w:ilvl w:val="0"/>
          <w:numId w:val="2"/>
        </w:numPr>
        <w:rPr>
          <w:rFonts w:ascii="Cambria" w:eastAsia="Times New Roman" w:hAnsi="Cambria" w:cs="Times New Roman"/>
          <w:szCs w:val="20"/>
          <w:lang w:eastAsia="tr-TR"/>
        </w:rPr>
      </w:pPr>
      <w:r w:rsidRPr="00740047">
        <w:rPr>
          <w:rFonts w:ascii="Cambria" w:eastAsia="Times New Roman" w:hAnsi="Cambria" w:cs="Times New Roman"/>
          <w:szCs w:val="20"/>
          <w:lang w:eastAsia="tr-TR"/>
        </w:rPr>
        <w:t>Standart metne “</w:t>
      </w:r>
      <w:r w:rsidR="001E654C" w:rsidRPr="00740047">
        <w:rPr>
          <w:rFonts w:ascii="Cambria" w:eastAsia="Times New Roman" w:hAnsi="Cambria" w:cs="Times New Roman"/>
          <w:szCs w:val="20"/>
          <w:lang w:eastAsia="tr-TR"/>
        </w:rPr>
        <w:t>Madde 5.3.10</w:t>
      </w:r>
      <w:r w:rsidRPr="00740047">
        <w:rPr>
          <w:rFonts w:ascii="Cambria" w:eastAsia="Times New Roman" w:hAnsi="Cambria" w:cs="Times New Roman"/>
          <w:szCs w:val="20"/>
          <w:lang w:eastAsia="tr-TR"/>
        </w:rPr>
        <w:t xml:space="preserve"> </w:t>
      </w:r>
      <w:r w:rsidR="001E654C" w:rsidRPr="00740047">
        <w:rPr>
          <w:rFonts w:ascii="Cambria" w:eastAsia="Times New Roman" w:hAnsi="Cambria" w:cs="Times New Roman"/>
          <w:szCs w:val="20"/>
          <w:lang w:eastAsia="tr-TR"/>
        </w:rPr>
        <w:t>B</w:t>
      </w:r>
      <w:r w:rsidRPr="00740047">
        <w:rPr>
          <w:rFonts w:ascii="Cambria" w:eastAsia="Times New Roman" w:hAnsi="Cambria" w:cs="Times New Roman"/>
          <w:szCs w:val="20"/>
          <w:lang w:eastAsia="tr-TR"/>
        </w:rPr>
        <w:t>oy</w:t>
      </w:r>
      <w:r w:rsidR="001E654C" w:rsidRPr="00740047">
        <w:rPr>
          <w:rFonts w:ascii="Cambria" w:eastAsia="Times New Roman" w:hAnsi="Cambria" w:cs="Times New Roman"/>
          <w:szCs w:val="20"/>
          <w:lang w:eastAsia="tr-TR"/>
        </w:rPr>
        <w:t xml:space="preserve"> toleranslarının tayini</w:t>
      </w:r>
      <w:r w:rsidRPr="00740047">
        <w:rPr>
          <w:rFonts w:ascii="Cambria" w:eastAsia="Times New Roman" w:hAnsi="Cambria" w:cs="Times New Roman"/>
          <w:szCs w:val="20"/>
          <w:lang w:eastAsia="tr-TR"/>
        </w:rPr>
        <w:t>” maddesi eklenmiştir.</w:t>
      </w:r>
    </w:p>
    <w:p w14:paraId="607B8557" w14:textId="77777777" w:rsidR="007C7E6A" w:rsidRPr="00740047" w:rsidRDefault="007C7E6A" w:rsidP="00611C02">
      <w:pPr>
        <w:tabs>
          <w:tab w:val="left" w:pos="1545"/>
        </w:tabs>
        <w:rPr>
          <w:rFonts w:ascii="Cambria" w:eastAsia="Times New Roman" w:hAnsi="Cambria" w:cs="Times New Roman"/>
          <w:szCs w:val="20"/>
          <w:lang w:eastAsia="tr-TR"/>
        </w:rPr>
      </w:pPr>
    </w:p>
    <w:p w14:paraId="7DB74261" w14:textId="77777777" w:rsidR="007C7E6A" w:rsidRPr="00740047" w:rsidRDefault="001E654C" w:rsidP="007C7E6A">
      <w:pPr>
        <w:pStyle w:val="Balk3"/>
        <w:rPr>
          <w:rFonts w:ascii="Cambria" w:hAnsi="Cambria"/>
        </w:rPr>
      </w:pPr>
      <w:r w:rsidRPr="00740047">
        <w:rPr>
          <w:rFonts w:ascii="Cambria" w:hAnsi="Cambria"/>
        </w:rPr>
        <w:t>5.3.10</w:t>
      </w:r>
      <w:r w:rsidR="007C7E6A" w:rsidRPr="00740047">
        <w:rPr>
          <w:rFonts w:ascii="Cambria" w:hAnsi="Cambria"/>
        </w:rPr>
        <w:t xml:space="preserve"> </w:t>
      </w:r>
      <w:r w:rsidRPr="00740047">
        <w:rPr>
          <w:rFonts w:ascii="Cambria" w:hAnsi="Cambria"/>
        </w:rPr>
        <w:t>Boy</w:t>
      </w:r>
      <w:r w:rsidR="007C7E6A" w:rsidRPr="00740047">
        <w:rPr>
          <w:rFonts w:ascii="Cambria" w:hAnsi="Cambria"/>
        </w:rPr>
        <w:t xml:space="preserve"> toleransları</w:t>
      </w:r>
      <w:r w:rsidRPr="00740047">
        <w:rPr>
          <w:rFonts w:ascii="Cambria" w:hAnsi="Cambria"/>
        </w:rPr>
        <w:t>nın tayini</w:t>
      </w:r>
    </w:p>
    <w:p w14:paraId="7A7A7307" w14:textId="77777777" w:rsidR="007C7E6A" w:rsidRPr="00740047" w:rsidRDefault="00BB58B3" w:rsidP="007C7E6A">
      <w:pPr>
        <w:tabs>
          <w:tab w:val="left" w:pos="1545"/>
        </w:tabs>
        <w:rPr>
          <w:rFonts w:ascii="Cambria" w:hAnsi="Cambria"/>
          <w:szCs w:val="20"/>
        </w:rPr>
      </w:pPr>
      <w:r w:rsidRPr="00740047">
        <w:rPr>
          <w:rFonts w:ascii="Cambria" w:hAnsi="Cambria"/>
          <w:szCs w:val="20"/>
        </w:rPr>
        <w:t>Kabuklu y</w:t>
      </w:r>
      <w:r w:rsidR="007C7E6A" w:rsidRPr="00740047">
        <w:rPr>
          <w:rFonts w:ascii="Cambria" w:hAnsi="Cambria"/>
          <w:szCs w:val="20"/>
        </w:rPr>
        <w:t xml:space="preserve">erfıstıklarının </w:t>
      </w:r>
      <w:r w:rsidR="001E654C" w:rsidRPr="00740047">
        <w:rPr>
          <w:rFonts w:ascii="Cambria" w:hAnsi="Cambria"/>
          <w:szCs w:val="20"/>
        </w:rPr>
        <w:t>boy</w:t>
      </w:r>
      <w:r w:rsidR="007C7E6A" w:rsidRPr="00740047">
        <w:rPr>
          <w:rFonts w:ascii="Cambria" w:hAnsi="Cambria"/>
          <w:szCs w:val="20"/>
        </w:rPr>
        <w:t xml:space="preserve"> toleranslarını belirlemek için </w:t>
      </w:r>
      <w:r w:rsidR="001E654C" w:rsidRPr="00740047">
        <w:rPr>
          <w:rFonts w:ascii="Cambria" w:hAnsi="Cambria"/>
          <w:szCs w:val="20"/>
        </w:rPr>
        <w:t>her bir boyu</w:t>
      </w:r>
      <w:r w:rsidR="007C7E6A" w:rsidRPr="00740047">
        <w:rPr>
          <w:rFonts w:ascii="Cambria" w:hAnsi="Cambria"/>
          <w:szCs w:val="20"/>
        </w:rPr>
        <w:t xml:space="preserve"> temsilen Madde 5.1’e göre alınmış paçal numuneden 100 </w:t>
      </w:r>
      <w:r w:rsidR="001E654C" w:rsidRPr="00740047">
        <w:rPr>
          <w:rFonts w:ascii="Cambria" w:hAnsi="Cambria"/>
          <w:szCs w:val="20"/>
        </w:rPr>
        <w:t>g’lık</w:t>
      </w:r>
      <w:r w:rsidR="007C7E6A" w:rsidRPr="00740047">
        <w:rPr>
          <w:rFonts w:ascii="Cambria" w:hAnsi="Cambria"/>
          <w:szCs w:val="20"/>
        </w:rPr>
        <w:t xml:space="preserve"> 3 adet numune alınır. Her bir </w:t>
      </w:r>
      <w:r w:rsidR="001E654C" w:rsidRPr="00740047">
        <w:rPr>
          <w:rFonts w:ascii="Cambria" w:hAnsi="Cambria"/>
          <w:szCs w:val="20"/>
        </w:rPr>
        <w:t>boy</w:t>
      </w:r>
      <w:r w:rsidR="007C7E6A" w:rsidRPr="00740047">
        <w:rPr>
          <w:rFonts w:ascii="Cambria" w:hAnsi="Cambria"/>
          <w:szCs w:val="20"/>
        </w:rPr>
        <w:t xml:space="preserve"> numunesi içerisindeki ayrı ayrı farklı </w:t>
      </w:r>
      <w:r w:rsidR="001E654C" w:rsidRPr="00740047">
        <w:rPr>
          <w:rFonts w:ascii="Cambria" w:hAnsi="Cambria"/>
          <w:szCs w:val="20"/>
        </w:rPr>
        <w:t>boy</w:t>
      </w:r>
      <w:r w:rsidR="007C7E6A" w:rsidRPr="00740047">
        <w:rPr>
          <w:rFonts w:ascii="Cambria" w:hAnsi="Cambria"/>
          <w:szCs w:val="20"/>
        </w:rPr>
        <w:t>lara ait</w:t>
      </w:r>
      <w:r w:rsidRPr="00740047">
        <w:rPr>
          <w:rFonts w:ascii="Cambria" w:hAnsi="Cambria"/>
          <w:szCs w:val="20"/>
        </w:rPr>
        <w:t xml:space="preserve"> kabuklu</w:t>
      </w:r>
      <w:r w:rsidR="007C7E6A" w:rsidRPr="00740047">
        <w:rPr>
          <w:rFonts w:ascii="Cambria" w:hAnsi="Cambria"/>
          <w:szCs w:val="20"/>
        </w:rPr>
        <w:t xml:space="preserve"> yerfıstıkları sayısı tane olarak belirlenir. Bu elde edilen sayım sonuçlarının</w:t>
      </w:r>
      <w:r w:rsidRPr="00740047">
        <w:rPr>
          <w:rFonts w:ascii="Cambria" w:hAnsi="Cambria"/>
          <w:szCs w:val="20"/>
        </w:rPr>
        <w:t xml:space="preserve"> ortalaması alınarak Madde 4.3.2.1</w:t>
      </w:r>
      <w:r w:rsidR="007C7E6A" w:rsidRPr="00740047">
        <w:rPr>
          <w:rFonts w:ascii="Cambria" w:hAnsi="Cambria"/>
          <w:szCs w:val="20"/>
        </w:rPr>
        <w:t>’e uyup uymadığına bakılır.</w:t>
      </w:r>
    </w:p>
    <w:p w14:paraId="469BD40B" w14:textId="77777777" w:rsidR="00BB58B3" w:rsidRPr="00740047" w:rsidRDefault="00BB58B3" w:rsidP="007C7E6A">
      <w:pPr>
        <w:tabs>
          <w:tab w:val="left" w:pos="1545"/>
        </w:tabs>
        <w:rPr>
          <w:rFonts w:ascii="Cambria" w:hAnsi="Cambria"/>
          <w:szCs w:val="20"/>
        </w:rPr>
      </w:pPr>
    </w:p>
    <w:p w14:paraId="6322979D" w14:textId="77777777" w:rsidR="00D043A3" w:rsidRPr="00740047" w:rsidRDefault="00BB58B3" w:rsidP="00397C39">
      <w:pPr>
        <w:tabs>
          <w:tab w:val="left" w:pos="1545"/>
        </w:tabs>
        <w:rPr>
          <w:rFonts w:ascii="Cambria" w:eastAsia="Times New Roman" w:hAnsi="Cambria" w:cs="Times New Roman"/>
          <w:b/>
          <w:szCs w:val="20"/>
          <w:lang w:eastAsia="tr-TR"/>
        </w:rPr>
      </w:pPr>
      <w:r w:rsidRPr="00740047">
        <w:rPr>
          <w:rFonts w:ascii="Cambria" w:hAnsi="Cambria"/>
          <w:szCs w:val="20"/>
        </w:rPr>
        <w:lastRenderedPageBreak/>
        <w:t>Aynı işlem uzun taneli iç yerfıstığı için yapılır ve Madde 4.3.2.2.1’e uy</w:t>
      </w:r>
      <w:r w:rsidR="00397C39" w:rsidRPr="00740047">
        <w:rPr>
          <w:rFonts w:ascii="Cambria" w:hAnsi="Cambria"/>
          <w:szCs w:val="20"/>
        </w:rPr>
        <w:t>up uymadığına bakılır. Benze şekilde y</w:t>
      </w:r>
      <w:r w:rsidRPr="00740047">
        <w:rPr>
          <w:rFonts w:ascii="Cambria" w:hAnsi="Cambria"/>
          <w:szCs w:val="20"/>
        </w:rPr>
        <w:t>uvarlak taneli iç yerfıstığı için</w:t>
      </w:r>
      <w:r w:rsidR="00397C39" w:rsidRPr="00740047">
        <w:rPr>
          <w:rFonts w:ascii="Cambria" w:hAnsi="Cambria"/>
          <w:szCs w:val="20"/>
        </w:rPr>
        <w:t xml:space="preserve"> de yapılır ve</w:t>
      </w:r>
      <w:r w:rsidRPr="00740047">
        <w:rPr>
          <w:rFonts w:ascii="Cambria" w:hAnsi="Cambria"/>
          <w:szCs w:val="20"/>
        </w:rPr>
        <w:t xml:space="preserve"> Madde 4.3.2.2.2</w:t>
      </w:r>
      <w:r w:rsidR="00397C39" w:rsidRPr="00740047">
        <w:rPr>
          <w:rFonts w:ascii="Cambria" w:hAnsi="Cambria"/>
          <w:szCs w:val="20"/>
        </w:rPr>
        <w:t>’ye uyup uymadığına bakılır.</w:t>
      </w:r>
    </w:p>
    <w:p w14:paraId="411F5846" w14:textId="77777777" w:rsidR="00D043A3" w:rsidRPr="00740047" w:rsidRDefault="00D043A3" w:rsidP="001364E2">
      <w:pPr>
        <w:tabs>
          <w:tab w:val="left" w:pos="1000"/>
        </w:tabs>
        <w:rPr>
          <w:rFonts w:ascii="Cambria" w:eastAsia="Times New Roman" w:hAnsi="Cambria" w:cs="Times New Roman"/>
          <w:b/>
          <w:sz w:val="22"/>
          <w:lang w:eastAsia="tr-TR"/>
        </w:rPr>
      </w:pPr>
    </w:p>
    <w:sectPr w:rsidR="00D043A3" w:rsidRPr="00740047" w:rsidSect="001441CD">
      <w:headerReference w:type="default" r:id="rId12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50BED" w14:textId="77777777" w:rsidR="00AC68CD" w:rsidRDefault="00AC68CD" w:rsidP="001441CD">
      <w:r>
        <w:separator/>
      </w:r>
    </w:p>
  </w:endnote>
  <w:endnote w:type="continuationSeparator" w:id="0">
    <w:p w14:paraId="75D5200D" w14:textId="77777777" w:rsidR="00AC68CD" w:rsidRDefault="00AC68CD" w:rsidP="0014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61AF9" w14:textId="77777777" w:rsidR="00AC68CD" w:rsidRDefault="00AC68CD" w:rsidP="001441CD">
      <w:r>
        <w:separator/>
      </w:r>
    </w:p>
  </w:footnote>
  <w:footnote w:type="continuationSeparator" w:id="0">
    <w:p w14:paraId="05B21F79" w14:textId="77777777" w:rsidR="00AC68CD" w:rsidRDefault="00AC68CD" w:rsidP="00144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</w:rPr>
      <w:id w:val="-1318336367"/>
      <w:docPartObj>
        <w:docPartGallery w:val="Page Numbers (Top of Page)"/>
        <w:docPartUnique/>
      </w:docPartObj>
    </w:sdtPr>
    <w:sdtEndPr/>
    <w:sdtContent>
      <w:p w14:paraId="33EE3D1E" w14:textId="757C03E5" w:rsidR="001441CD" w:rsidRPr="00740047" w:rsidRDefault="001441CD" w:rsidP="001441CD">
        <w:pPr>
          <w:pStyle w:val="stBilgi"/>
          <w:jc w:val="right"/>
          <w:rPr>
            <w:rFonts w:ascii="Cambria" w:hAnsi="Cambria"/>
            <w:b/>
            <w:bCs/>
            <w:sz w:val="24"/>
            <w:szCs w:val="24"/>
          </w:rPr>
        </w:pPr>
        <w:r w:rsidRPr="00740047">
          <w:rPr>
            <w:rFonts w:ascii="Cambria" w:hAnsi="Cambria"/>
          </w:rPr>
          <w:t xml:space="preserve">Sayfa </w:t>
        </w:r>
        <w:r w:rsidRPr="00740047">
          <w:rPr>
            <w:rFonts w:ascii="Cambria" w:hAnsi="Cambria"/>
            <w:b/>
            <w:bCs/>
            <w:sz w:val="24"/>
            <w:szCs w:val="24"/>
          </w:rPr>
          <w:fldChar w:fldCharType="begin"/>
        </w:r>
        <w:r w:rsidRPr="00740047">
          <w:rPr>
            <w:rFonts w:ascii="Cambria" w:hAnsi="Cambria"/>
            <w:b/>
            <w:bCs/>
          </w:rPr>
          <w:instrText>PAGE</w:instrText>
        </w:r>
        <w:r w:rsidRPr="00740047">
          <w:rPr>
            <w:rFonts w:ascii="Cambria" w:hAnsi="Cambria"/>
            <w:b/>
            <w:bCs/>
            <w:sz w:val="24"/>
            <w:szCs w:val="24"/>
          </w:rPr>
          <w:fldChar w:fldCharType="separate"/>
        </w:r>
        <w:r w:rsidR="006B7DB5">
          <w:rPr>
            <w:rFonts w:ascii="Cambria" w:hAnsi="Cambria"/>
            <w:b/>
            <w:bCs/>
            <w:noProof/>
          </w:rPr>
          <w:t>2</w:t>
        </w:r>
        <w:r w:rsidRPr="00740047">
          <w:rPr>
            <w:rFonts w:ascii="Cambria" w:hAnsi="Cambria"/>
            <w:b/>
            <w:bCs/>
            <w:sz w:val="24"/>
            <w:szCs w:val="24"/>
          </w:rPr>
          <w:fldChar w:fldCharType="end"/>
        </w:r>
        <w:r w:rsidRPr="00740047">
          <w:rPr>
            <w:rFonts w:ascii="Cambria" w:hAnsi="Cambria"/>
          </w:rPr>
          <w:t xml:space="preserve"> / </w:t>
        </w:r>
        <w:r w:rsidRPr="00740047">
          <w:rPr>
            <w:rFonts w:ascii="Cambria" w:hAnsi="Cambria"/>
            <w:b/>
            <w:bCs/>
            <w:sz w:val="24"/>
            <w:szCs w:val="24"/>
          </w:rPr>
          <w:fldChar w:fldCharType="begin"/>
        </w:r>
        <w:r w:rsidRPr="00740047">
          <w:rPr>
            <w:rFonts w:ascii="Cambria" w:hAnsi="Cambria"/>
            <w:b/>
            <w:bCs/>
          </w:rPr>
          <w:instrText>NUMPAGES</w:instrText>
        </w:r>
        <w:r w:rsidRPr="00740047">
          <w:rPr>
            <w:rFonts w:ascii="Cambria" w:hAnsi="Cambria"/>
            <w:b/>
            <w:bCs/>
            <w:sz w:val="24"/>
            <w:szCs w:val="24"/>
          </w:rPr>
          <w:fldChar w:fldCharType="separate"/>
        </w:r>
        <w:r w:rsidR="006B7DB5">
          <w:rPr>
            <w:rFonts w:ascii="Cambria" w:hAnsi="Cambria"/>
            <w:b/>
            <w:bCs/>
            <w:noProof/>
          </w:rPr>
          <w:t>2</w:t>
        </w:r>
        <w:r w:rsidRPr="00740047">
          <w:rPr>
            <w:rFonts w:ascii="Cambria" w:hAnsi="Cambria"/>
            <w:b/>
            <w:bCs/>
            <w:sz w:val="24"/>
            <w:szCs w:val="24"/>
          </w:rPr>
          <w:fldChar w:fldCharType="end"/>
        </w:r>
      </w:p>
      <w:sdt>
        <w:sdtPr>
          <w:rPr>
            <w:rFonts w:ascii="Cambria" w:hAnsi="Cambria"/>
            <w:sz w:val="22"/>
            <w:szCs w:val="22"/>
          </w:rPr>
          <w:id w:val="-662237042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55AB8290" w14:textId="77777777" w:rsidR="001441CD" w:rsidRPr="00740047" w:rsidRDefault="00427963" w:rsidP="001441CD">
            <w:pPr>
              <w:pStyle w:val="stBilgi"/>
              <w:rPr>
                <w:rFonts w:ascii="Cambria" w:hAnsi="Cambria"/>
                <w:sz w:val="22"/>
                <w:u w:val="single"/>
              </w:rPr>
            </w:pPr>
            <w:r w:rsidRPr="00740047">
              <w:rPr>
                <w:rFonts w:ascii="Cambria" w:hAnsi="Cambria"/>
                <w:sz w:val="22"/>
                <w:u w:val="single"/>
              </w:rPr>
              <w:t>ICS 67.080.10</w:t>
            </w:r>
            <w:r w:rsidR="001441CD" w:rsidRPr="00740047">
              <w:rPr>
                <w:rFonts w:ascii="Cambria" w:hAnsi="Cambria"/>
                <w:sz w:val="22"/>
                <w:u w:val="single"/>
              </w:rPr>
              <w:t xml:space="preserve">  </w:t>
            </w:r>
            <w:r w:rsidR="001441CD" w:rsidRPr="00740047">
              <w:rPr>
                <w:rFonts w:ascii="Cambria" w:hAnsi="Cambria"/>
                <w:sz w:val="22"/>
                <w:u w:val="single"/>
              </w:rPr>
              <w:tab/>
              <w:t xml:space="preserve">    </w:t>
            </w:r>
            <w:r w:rsidR="001441CD" w:rsidRPr="00740047">
              <w:rPr>
                <w:rFonts w:ascii="Cambria" w:hAnsi="Cambria"/>
                <w:sz w:val="22"/>
                <w:u w:val="single"/>
              </w:rPr>
              <w:tab/>
              <w:t xml:space="preserve">         </w:t>
            </w:r>
            <w:r w:rsidRPr="00740047">
              <w:rPr>
                <w:rFonts w:ascii="Cambria" w:hAnsi="Cambria"/>
                <w:sz w:val="22"/>
                <w:u w:val="single"/>
              </w:rPr>
              <w:t>TS 310:2016</w:t>
            </w:r>
            <w:r w:rsidR="00000B54" w:rsidRPr="00740047">
              <w:rPr>
                <w:rFonts w:ascii="Cambria" w:hAnsi="Cambria"/>
                <w:sz w:val="22"/>
                <w:u w:val="single"/>
              </w:rPr>
              <w:t>/tst T1</w:t>
            </w:r>
          </w:p>
        </w:sdtContent>
      </w:sdt>
    </w:sdtContent>
  </w:sdt>
  <w:p w14:paraId="2FBC9FE9" w14:textId="77777777" w:rsidR="001441CD" w:rsidRPr="00740047" w:rsidRDefault="001441CD" w:rsidP="001441CD">
    <w:pPr>
      <w:tabs>
        <w:tab w:val="right" w:pos="9639"/>
      </w:tabs>
      <w:jc w:val="left"/>
      <w:rPr>
        <w:rFonts w:ascii="Cambria" w:hAnsi="Cambria"/>
        <w:sz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7C34"/>
    <w:multiLevelType w:val="hybridMultilevel"/>
    <w:tmpl w:val="CF52FC74"/>
    <w:lvl w:ilvl="0" w:tplc="498A9AB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26152"/>
    <w:multiLevelType w:val="hybridMultilevel"/>
    <w:tmpl w:val="2FECB8CE"/>
    <w:lvl w:ilvl="0" w:tplc="3CD053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B1777"/>
    <w:multiLevelType w:val="hybridMultilevel"/>
    <w:tmpl w:val="20549C6E"/>
    <w:lvl w:ilvl="0" w:tplc="D17E64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80A1F"/>
    <w:multiLevelType w:val="hybridMultilevel"/>
    <w:tmpl w:val="7DD86F88"/>
    <w:lvl w:ilvl="0" w:tplc="1C10DFC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trackRevisions/>
  <w:documentProtection w:edit="trackedChanges" w:enforcement="1" w:cryptProviderType="rsaAES" w:cryptAlgorithmClass="hash" w:cryptAlgorithmType="typeAny" w:cryptAlgorithmSid="14" w:cryptSpinCount="100000" w:hash="XhJRgjz5xnO0jc9Sf5xvEFOi/zhZHHnJAK1x3Ilr80yRRLuKiU9LRHTNHtoQv1KsHqrLWWkgLFSgNxYO1XlQEg==" w:salt="el0uCWOfGvMt3mmYiikqm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E2"/>
    <w:rsid w:val="00000B54"/>
    <w:rsid w:val="000D4BA5"/>
    <w:rsid w:val="000D6FDB"/>
    <w:rsid w:val="001325D1"/>
    <w:rsid w:val="001359C5"/>
    <w:rsid w:val="001364E2"/>
    <w:rsid w:val="001441CD"/>
    <w:rsid w:val="001B4BAF"/>
    <w:rsid w:val="001E654C"/>
    <w:rsid w:val="00397C39"/>
    <w:rsid w:val="003A7757"/>
    <w:rsid w:val="00427963"/>
    <w:rsid w:val="00456F9B"/>
    <w:rsid w:val="004D0573"/>
    <w:rsid w:val="004F38D6"/>
    <w:rsid w:val="005870B6"/>
    <w:rsid w:val="006045BA"/>
    <w:rsid w:val="00611C02"/>
    <w:rsid w:val="006574FE"/>
    <w:rsid w:val="006B235D"/>
    <w:rsid w:val="006B7DB5"/>
    <w:rsid w:val="006C5176"/>
    <w:rsid w:val="006E65F1"/>
    <w:rsid w:val="00701C51"/>
    <w:rsid w:val="00740047"/>
    <w:rsid w:val="007753DA"/>
    <w:rsid w:val="007A4A59"/>
    <w:rsid w:val="007C4F43"/>
    <w:rsid w:val="007C7E6A"/>
    <w:rsid w:val="00802D26"/>
    <w:rsid w:val="00821904"/>
    <w:rsid w:val="00856186"/>
    <w:rsid w:val="008907BD"/>
    <w:rsid w:val="008D5971"/>
    <w:rsid w:val="00961657"/>
    <w:rsid w:val="009B4472"/>
    <w:rsid w:val="009B4F8B"/>
    <w:rsid w:val="00AC68CD"/>
    <w:rsid w:val="00B31B9B"/>
    <w:rsid w:val="00B5631A"/>
    <w:rsid w:val="00B960E8"/>
    <w:rsid w:val="00BB58B3"/>
    <w:rsid w:val="00BC0B2A"/>
    <w:rsid w:val="00BF5A7A"/>
    <w:rsid w:val="00C54E84"/>
    <w:rsid w:val="00CF057C"/>
    <w:rsid w:val="00D043A3"/>
    <w:rsid w:val="00D43505"/>
    <w:rsid w:val="00D56E10"/>
    <w:rsid w:val="00D63443"/>
    <w:rsid w:val="00D7732D"/>
    <w:rsid w:val="00DB5089"/>
    <w:rsid w:val="00DE0C10"/>
    <w:rsid w:val="00E33BA3"/>
    <w:rsid w:val="00E62211"/>
    <w:rsid w:val="00E82E75"/>
    <w:rsid w:val="00FA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79CE4"/>
  <w15:chartTrackingRefBased/>
  <w15:docId w15:val="{32948D9E-AD83-4F11-ADE7-E1CD7821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757"/>
    <w:pPr>
      <w:spacing w:after="0" w:line="240" w:lineRule="auto"/>
      <w:jc w:val="both"/>
    </w:pPr>
    <w:rPr>
      <w:rFonts w:ascii="Arial" w:eastAsia="Calibri" w:hAnsi="Arial" w:cs="Arial"/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B31B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82E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aliases w:val=" Char"/>
    <w:basedOn w:val="Normal"/>
    <w:next w:val="Normal"/>
    <w:link w:val="Balk3Char"/>
    <w:unhideWhenUsed/>
    <w:qFormat/>
    <w:rsid w:val="001364E2"/>
    <w:pPr>
      <w:keepNext/>
      <w:tabs>
        <w:tab w:val="left" w:pos="567"/>
      </w:tabs>
      <w:outlineLvl w:val="2"/>
    </w:pPr>
    <w:rPr>
      <w:rFonts w:eastAsia="Times New Roman" w:cs="Times New Roman"/>
      <w:b/>
      <w:bCs/>
      <w:sz w:val="22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aliases w:val=" Char Char"/>
    <w:basedOn w:val="VarsaylanParagrafYazTipi"/>
    <w:link w:val="Balk3"/>
    <w:rsid w:val="001364E2"/>
    <w:rPr>
      <w:rFonts w:ascii="Arial" w:eastAsia="Times New Roman" w:hAnsi="Arial" w:cs="Times New Roman"/>
      <w:b/>
      <w:bCs/>
      <w:szCs w:val="26"/>
    </w:rPr>
  </w:style>
  <w:style w:type="paragraph" w:styleId="BalonMetni">
    <w:name w:val="Balloon Text"/>
    <w:basedOn w:val="Normal"/>
    <w:link w:val="BalonMetniChar"/>
    <w:semiHidden/>
    <w:unhideWhenUsed/>
    <w:rsid w:val="001364E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64E2"/>
    <w:rPr>
      <w:rFonts w:ascii="Segoe UI" w:eastAsia="Calibr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82E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basedOn w:val="Normal"/>
    <w:link w:val="stBilgiChar"/>
    <w:rsid w:val="00E82E75"/>
    <w:pPr>
      <w:tabs>
        <w:tab w:val="center" w:pos="4536"/>
        <w:tab w:val="right" w:pos="9072"/>
      </w:tabs>
    </w:pPr>
    <w:rPr>
      <w:rFonts w:eastAsia="Times New Roman" w:cs="Times New Roman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rsid w:val="00E82E75"/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StyleBodyTextCentered">
    <w:name w:val="Style Body Text + Centered"/>
    <w:basedOn w:val="GvdeMetni"/>
    <w:rsid w:val="00E82E75"/>
    <w:pPr>
      <w:spacing w:after="0"/>
      <w:jc w:val="center"/>
    </w:pPr>
    <w:rPr>
      <w:rFonts w:eastAsia="Times New Roman" w:cs="Times New Roman"/>
      <w:szCs w:val="20"/>
      <w:lang w:val="en-AU"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E82E7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E82E75"/>
    <w:rPr>
      <w:rFonts w:ascii="Arial" w:eastAsia="Calibri" w:hAnsi="Arial" w:cs="Arial"/>
      <w:sz w:val="20"/>
    </w:rPr>
  </w:style>
  <w:style w:type="character" w:customStyle="1" w:styleId="Balk1Char">
    <w:name w:val="Başlık 1 Char"/>
    <w:basedOn w:val="VarsaylanParagrafYazTipi"/>
    <w:link w:val="Balk1"/>
    <w:uiPriority w:val="9"/>
    <w:rsid w:val="00B31B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ltBilgi">
    <w:name w:val="footer"/>
    <w:basedOn w:val="Normal"/>
    <w:link w:val="AltBilgiChar"/>
    <w:uiPriority w:val="99"/>
    <w:unhideWhenUsed/>
    <w:rsid w:val="001441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441CD"/>
    <w:rPr>
      <w:rFonts w:ascii="Arial" w:eastAsia="Calibri" w:hAnsi="Arial" w:cs="Arial"/>
      <w:sz w:val="20"/>
    </w:rPr>
  </w:style>
  <w:style w:type="paragraph" w:styleId="ListeParagraf">
    <w:name w:val="List Paragraph"/>
    <w:basedOn w:val="Normal"/>
    <w:uiPriority w:val="34"/>
    <w:qFormat/>
    <w:rsid w:val="00D04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72b97dbf-2202-42d5-a54f-7701bab0c0e3">DE7A5FC8-ED3A-4EAC-8DA4-03F84174A4C3</SecurityToken>
    <FileName xmlns="72b97dbf-2202-42d5-a54f-7701bab0c0e3">TS_310_tst_T1_Standard_Tasari_Icerik_(DOC)_218267.docx</File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B7F5AF86BC1594F9A32A2F7BC84B9E0" ma:contentTypeVersion="2" ma:contentTypeDescription="Yeni belge oluşturun." ma:contentTypeScope="" ma:versionID="6c0798de3cecc05f272144573a689b28">
  <xsd:schema xmlns:xsd="http://www.w3.org/2001/XMLSchema" xmlns:xs="http://www.w3.org/2001/XMLSchema" xmlns:p="http://schemas.microsoft.com/office/2006/metadata/properties" xmlns:ns2="72b97dbf-2202-42d5-a54f-7701bab0c0e3" targetNamespace="http://schemas.microsoft.com/office/2006/metadata/properties" ma:root="true" ma:fieldsID="3fab69d7760dae6c6746fc3af48fda24" ns2:_="">
    <xsd:import namespace="72b97dbf-2202-42d5-a54f-7701bab0c0e3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7dbf-2202-42d5-a54f-7701bab0c0e3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3A5AA-4832-4D9C-9953-37AE3B33FB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76247A-DECA-460B-AB8E-1499089E615B}">
  <ds:schemaRefs>
    <ds:schemaRef ds:uri="http://schemas.microsoft.com/office/2006/metadata/properties"/>
    <ds:schemaRef ds:uri="http://schemas.microsoft.com/office/infopath/2007/PartnerControls"/>
    <ds:schemaRef ds:uri="72b97dbf-2202-42d5-a54f-7701bab0c0e3"/>
  </ds:schemaRefs>
</ds:datastoreItem>
</file>

<file path=customXml/itemProps3.xml><?xml version="1.0" encoding="utf-8"?>
<ds:datastoreItem xmlns:ds="http://schemas.openxmlformats.org/officeDocument/2006/customXml" ds:itemID="{96D58BC8-6CA8-4356-BCFA-4D370BD18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7dbf-2202-42d5-a54f-7701bab0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BD57E8-C11C-4CBE-BB50-8A698E3AF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Habeşi ÖZKAYNAR</dc:creator>
  <cp:keywords/>
  <dc:description/>
  <cp:lastModifiedBy>Selda ERK</cp:lastModifiedBy>
  <cp:revision>2</cp:revision>
  <cp:lastPrinted>2021-03-15T10:44:00Z</cp:lastPrinted>
  <dcterms:created xsi:type="dcterms:W3CDTF">2022-01-20T12:37:00Z</dcterms:created>
  <dcterms:modified xsi:type="dcterms:W3CDTF">2022-01-20T12:37:00Z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0x010100BB7F5AF86BC1594F9A32A2F7BC84B9E0</vt:lpwstr>
  </property>
</Properties>
</file>